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7766" w14:textId="77777777" w:rsidR="0018469C" w:rsidRDefault="00000000">
      <w:pPr>
        <w:spacing w:before="60" w:after="80" w:line="360" w:lineRule="auto"/>
        <w:jc w:val="center"/>
      </w:pPr>
      <w:r>
        <w:rPr>
          <w:rFonts w:ascii="Calibri" w:eastAsia="Calibri" w:hAnsi="Calibri" w:cs="Calibri"/>
          <w:b/>
          <w:bCs/>
          <w:color w:val="FFFFFF"/>
          <w:spacing w:val="10"/>
          <w:sz w:val="18"/>
          <w:szCs w:val="18"/>
          <w:shd w:val="clear" w:color="auto" w:fill="7B0000"/>
        </w:rPr>
        <w:t>INTERNAL – RESTRICTED</w:t>
      </w:r>
    </w:p>
    <w:p w14:paraId="0CA365EA" w14:textId="77777777" w:rsidR="0018469C" w:rsidRDefault="0018469C">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8469C" w14:paraId="4B47917E" w14:textId="77777777">
        <w:tc>
          <w:tcPr>
            <w:tcW w:w="0" w:type="auto"/>
            <w:tcBorders>
              <w:top w:val="single" w:sz="6" w:space="0" w:color="2B5797"/>
              <w:left w:val="single" w:sz="6" w:space="0" w:color="2B5797"/>
              <w:bottom w:val="single" w:sz="6" w:space="0" w:color="2B5797"/>
              <w:right w:val="single" w:sz="6" w:space="0" w:color="2B5797"/>
            </w:tcBorders>
            <w:shd w:val="clear" w:color="auto" w:fill="F7F9FD"/>
            <w:tcMar>
              <w:top w:w="360" w:type="dxa"/>
              <w:left w:w="420" w:type="dxa"/>
              <w:bottom w:w="360" w:type="dxa"/>
              <w:right w:w="420" w:type="dxa"/>
            </w:tcMar>
          </w:tcPr>
          <w:p w14:paraId="73897E06" w14:textId="77777777" w:rsidR="0018469C" w:rsidRDefault="00000000">
            <w:pPr>
              <w:spacing w:after="120" w:line="288" w:lineRule="auto"/>
            </w:pPr>
            <w:r>
              <w:rPr>
                <w:rFonts w:ascii="Calibri" w:eastAsia="Calibri" w:hAnsi="Calibri" w:cs="Calibri"/>
                <w:b/>
                <w:bCs/>
                <w:color w:val="1A1A1A"/>
                <w:sz w:val="40"/>
                <w:szCs w:val="40"/>
              </w:rPr>
              <w:t>Know Your Customer (KYC) Policy</w:t>
            </w:r>
          </w:p>
          <w:p w14:paraId="7CB498F9" w14:textId="77777777" w:rsidR="0018469C" w:rsidRDefault="00000000">
            <w:pPr>
              <w:spacing w:after="120" w:line="312" w:lineRule="auto"/>
            </w:pPr>
            <w:r>
              <w:rPr>
                <w:rFonts w:ascii="Calibri" w:eastAsia="Calibri" w:hAnsi="Calibri" w:cs="Calibri"/>
                <w:b/>
                <w:bCs/>
                <w:color w:val="2B5797"/>
                <w:sz w:val="26"/>
                <w:szCs w:val="26"/>
              </w:rPr>
              <w:t>Online Banking – Agentic AI Impersonation Risk Controls</w:t>
            </w:r>
          </w:p>
          <w:p w14:paraId="375D7EC5" w14:textId="77777777" w:rsidR="0018469C" w:rsidRDefault="00000000">
            <w:pPr>
              <w:spacing w:after="120" w:line="408" w:lineRule="auto"/>
            </w:pPr>
            <w:r>
              <w:t>Policy Number</w:t>
            </w:r>
          </w:p>
          <w:p w14:paraId="18D51E37" w14:textId="77777777" w:rsidR="0018469C" w:rsidRDefault="00000000">
            <w:pPr>
              <w:spacing w:after="120" w:line="408" w:lineRule="auto"/>
            </w:pPr>
            <w:r>
              <w:t>[BANK]-KYC-001</w:t>
            </w:r>
          </w:p>
          <w:p w14:paraId="42F4E4DE" w14:textId="77777777" w:rsidR="0018469C" w:rsidRDefault="00000000">
            <w:pPr>
              <w:spacing w:after="120" w:line="408" w:lineRule="auto"/>
            </w:pPr>
            <w:r>
              <w:t>Effective Date</w:t>
            </w:r>
          </w:p>
          <w:p w14:paraId="47FCFE07" w14:textId="77777777" w:rsidR="0018469C" w:rsidRDefault="00000000">
            <w:pPr>
              <w:spacing w:after="120" w:line="408" w:lineRule="auto"/>
            </w:pPr>
            <w:r>
              <w:t>August 4, 2026</w:t>
            </w:r>
          </w:p>
          <w:p w14:paraId="4FAA232A" w14:textId="77777777" w:rsidR="0018469C" w:rsidRDefault="00000000">
            <w:pPr>
              <w:spacing w:after="120" w:line="408" w:lineRule="auto"/>
            </w:pPr>
            <w:r>
              <w:t>Review Cycle</w:t>
            </w:r>
          </w:p>
          <w:p w14:paraId="4D13ED2E" w14:textId="77777777" w:rsidR="0018469C" w:rsidRDefault="00000000">
            <w:pPr>
              <w:spacing w:after="120" w:line="408" w:lineRule="auto"/>
            </w:pPr>
            <w:r>
              <w:t>Annual</w:t>
            </w:r>
          </w:p>
          <w:p w14:paraId="107EDF45" w14:textId="77777777" w:rsidR="0018469C" w:rsidRDefault="00000000">
            <w:pPr>
              <w:spacing w:after="120" w:line="408" w:lineRule="auto"/>
            </w:pPr>
            <w:r>
              <w:t>Version</w:t>
            </w:r>
          </w:p>
          <w:p w14:paraId="6E482092" w14:textId="77777777" w:rsidR="0018469C" w:rsidRDefault="00000000">
            <w:pPr>
              <w:spacing w:after="120" w:line="408" w:lineRule="auto"/>
            </w:pPr>
            <w:r>
              <w:t>1.0</w:t>
            </w:r>
          </w:p>
          <w:p w14:paraId="60167E51" w14:textId="77777777" w:rsidR="0018469C" w:rsidRDefault="00000000">
            <w:pPr>
              <w:spacing w:after="120" w:line="408" w:lineRule="auto"/>
            </w:pPr>
            <w:r>
              <w:t>Policy Owner</w:t>
            </w:r>
          </w:p>
          <w:p w14:paraId="59F8DE3D" w14:textId="77777777" w:rsidR="0018469C" w:rsidRDefault="00000000">
            <w:pPr>
              <w:spacing w:after="120" w:line="408" w:lineRule="auto"/>
            </w:pPr>
            <w:r>
              <w:t>Chief Compliance Officer</w:t>
            </w:r>
          </w:p>
          <w:p w14:paraId="3B72AAD1" w14:textId="77777777" w:rsidR="0018469C" w:rsidRDefault="00000000">
            <w:pPr>
              <w:spacing w:after="120" w:line="408" w:lineRule="auto"/>
            </w:pPr>
            <w:r>
              <w:t>Approved By</w:t>
            </w:r>
          </w:p>
          <w:p w14:paraId="390FF9E7" w14:textId="77777777" w:rsidR="0018469C" w:rsidRDefault="00000000">
            <w:pPr>
              <w:spacing w:after="120" w:line="408" w:lineRule="auto"/>
            </w:pPr>
            <w:r>
              <w:t>Board of Directors / Risk Committee</w:t>
            </w:r>
          </w:p>
          <w:p w14:paraId="34F2F4ED" w14:textId="77777777" w:rsidR="0018469C" w:rsidRDefault="00000000">
            <w:pPr>
              <w:spacing w:after="120" w:line="408" w:lineRule="auto"/>
            </w:pPr>
            <w:r>
              <w:t>Classification</w:t>
            </w:r>
          </w:p>
          <w:p w14:paraId="67AAF20D" w14:textId="77777777" w:rsidR="0018469C" w:rsidRDefault="00000000">
            <w:pPr>
              <w:spacing w:after="120" w:line="408" w:lineRule="auto"/>
            </w:pPr>
            <w:r>
              <w:t>Internal – Restricted.</w:t>
            </w:r>
          </w:p>
          <w:p w14:paraId="2414C147" w14:textId="77777777" w:rsidR="0018469C" w:rsidRDefault="00000000">
            <w:pPr>
              <w:spacing w:after="120" w:line="408" w:lineRule="auto"/>
            </w:pPr>
            <w:r>
              <w:t>This document contains sensitive compliance and security information. Distribution is limited to authorized personnel on a need-to-know basis.</w:t>
            </w:r>
          </w:p>
        </w:tc>
      </w:tr>
    </w:tbl>
    <w:p w14:paraId="13A55A4E" w14:textId="77777777" w:rsidR="0018469C" w:rsidRDefault="0018469C">
      <w:pPr>
        <w:spacing w:after="240"/>
      </w:pPr>
    </w:p>
    <w:p w14:paraId="49861968" w14:textId="77777777" w:rsidR="0018469C" w:rsidRDefault="0018469C">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8469C" w14:paraId="5F953265" w14:textId="77777777">
        <w:tc>
          <w:tcPr>
            <w:tcW w:w="0" w:type="auto"/>
            <w:tcBorders>
              <w:top w:val="single" w:sz="6" w:space="0" w:color="2B5797"/>
              <w:left w:val="single" w:sz="6" w:space="0" w:color="2B5797"/>
              <w:bottom w:val="single" w:sz="6" w:space="0" w:color="2B5797"/>
              <w:right w:val="single" w:sz="6" w:space="0" w:color="2B5797"/>
            </w:tcBorders>
            <w:shd w:val="clear" w:color="auto" w:fill="FFF4E0"/>
            <w:tcMar>
              <w:top w:w="150" w:type="dxa"/>
              <w:left w:w="210" w:type="dxa"/>
              <w:bottom w:w="150" w:type="dxa"/>
              <w:right w:w="210" w:type="dxa"/>
            </w:tcMar>
          </w:tcPr>
          <w:p w14:paraId="38899807" w14:textId="77777777" w:rsidR="0018469C" w:rsidRDefault="00000000">
            <w:pPr>
              <w:spacing w:after="60" w:line="360" w:lineRule="auto"/>
            </w:pPr>
            <w:r>
              <w:rPr>
                <w:rFonts w:ascii="Calibri" w:eastAsia="Calibri" w:hAnsi="Calibri" w:cs="Calibri"/>
                <w:b/>
                <w:bCs/>
                <w:color w:val="2B5797"/>
                <w:sz w:val="22"/>
                <w:szCs w:val="22"/>
              </w:rPr>
              <w:lastRenderedPageBreak/>
              <w:t>Important Notice</w:t>
            </w:r>
          </w:p>
          <w:p w14:paraId="119A17F1" w14:textId="77777777" w:rsidR="0018469C" w:rsidRDefault="00000000">
            <w:pPr>
              <w:spacing w:line="360" w:lineRule="auto"/>
            </w:pPr>
            <w:r>
              <w:rPr>
                <w:rFonts w:ascii="Calibri" w:eastAsia="Calibri" w:hAnsi="Calibri" w:cs="Calibri"/>
                <w:color w:val="000000"/>
                <w:sz w:val="22"/>
                <w:szCs w:val="22"/>
              </w:rPr>
              <w:t>This policy is an internal regulatory compliance document and constitutes confidential bank supervisory information. Unauthorized disclosure, reproduction, or distribution is strictly prohibited and may result in disciplinary action and/or legal liability.</w:t>
            </w:r>
          </w:p>
        </w:tc>
      </w:tr>
    </w:tbl>
    <w:p w14:paraId="79BB2F38" w14:textId="77777777" w:rsidR="0018469C" w:rsidRDefault="0018469C">
      <w:pPr>
        <w:spacing w:after="240"/>
      </w:pPr>
    </w:p>
    <w:p w14:paraId="1D0F7214" w14:textId="77777777" w:rsidR="0018469C" w:rsidRDefault="00000000">
      <w:pPr>
        <w:pStyle w:val="Heading2"/>
        <w:spacing w:before="360" w:after="100" w:line="312" w:lineRule="auto"/>
      </w:pPr>
      <w:r>
        <w:rPr>
          <w:rFonts w:ascii="Calibri" w:eastAsia="Calibri" w:hAnsi="Calibri" w:cs="Calibri"/>
          <w:color w:val="1A1A1A"/>
          <w:sz w:val="28"/>
          <w:szCs w:val="28"/>
        </w:rPr>
        <w:t>Table of Contents</w:t>
      </w:r>
    </w:p>
    <w:p w14:paraId="7498311E" w14:textId="77777777" w:rsidR="0018469C" w:rsidRDefault="0018469C">
      <w:pPr>
        <w:pBdr>
          <w:top w:val="single" w:sz="6" w:space="0" w:color="2B5797"/>
        </w:pBdr>
        <w:spacing w:after="200"/>
      </w:pPr>
    </w:p>
    <w:p w14:paraId="0DA15386" w14:textId="77777777" w:rsidR="0018469C" w:rsidRDefault="0018469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496"/>
        <w:gridCol w:w="7854"/>
      </w:tblGrid>
      <w:tr w:rsidR="0018469C" w14:paraId="3245DFF7" w14:textId="77777777">
        <w:trPr>
          <w:tblHeader/>
        </w:trPr>
        <w:tc>
          <w:tcPr>
            <w:tcW w:w="800" w:type="pct"/>
            <w:shd w:val="clear" w:color="auto" w:fill="E8EEF7"/>
            <w:tcMar>
              <w:top w:w="90" w:type="dxa"/>
              <w:left w:w="135" w:type="dxa"/>
              <w:bottom w:w="90" w:type="dxa"/>
              <w:right w:w="135" w:type="dxa"/>
            </w:tcMar>
          </w:tcPr>
          <w:p w14:paraId="010DE678" w14:textId="77777777" w:rsidR="0018469C" w:rsidRDefault="00000000">
            <w:r>
              <w:rPr>
                <w:rFonts w:ascii="Calibri" w:eastAsia="Calibri" w:hAnsi="Calibri" w:cs="Calibri"/>
                <w:b/>
                <w:bCs/>
                <w:color w:val="000000"/>
                <w:sz w:val="20"/>
                <w:szCs w:val="20"/>
              </w:rPr>
              <w:t>1.0</w:t>
            </w:r>
          </w:p>
        </w:tc>
        <w:tc>
          <w:tcPr>
            <w:tcW w:w="4200" w:type="pct"/>
            <w:shd w:val="clear" w:color="auto" w:fill="E8EEF7"/>
            <w:tcMar>
              <w:top w:w="90" w:type="dxa"/>
              <w:left w:w="135" w:type="dxa"/>
              <w:bottom w:w="90" w:type="dxa"/>
              <w:right w:w="135" w:type="dxa"/>
            </w:tcMar>
          </w:tcPr>
          <w:p w14:paraId="0D4F3235" w14:textId="77777777" w:rsidR="0018469C" w:rsidRDefault="00000000">
            <w:r>
              <w:rPr>
                <w:rFonts w:ascii="Calibri" w:eastAsia="Calibri" w:hAnsi="Calibri" w:cs="Calibri"/>
                <w:b/>
                <w:bCs/>
                <w:color w:val="000000"/>
                <w:sz w:val="20"/>
                <w:szCs w:val="20"/>
              </w:rPr>
              <w:t>Purpose</w:t>
            </w:r>
          </w:p>
        </w:tc>
      </w:tr>
      <w:tr w:rsidR="0018469C" w14:paraId="18F5EA25" w14:textId="77777777">
        <w:tc>
          <w:tcPr>
            <w:tcW w:w="800" w:type="pct"/>
            <w:tcMar>
              <w:top w:w="90" w:type="dxa"/>
              <w:left w:w="135" w:type="dxa"/>
              <w:bottom w:w="90" w:type="dxa"/>
              <w:right w:w="135" w:type="dxa"/>
            </w:tcMar>
          </w:tcPr>
          <w:p w14:paraId="3DADDB5D" w14:textId="77777777" w:rsidR="0018469C" w:rsidRDefault="00000000">
            <w:r>
              <w:rPr>
                <w:rFonts w:ascii="Calibri" w:eastAsia="Calibri" w:hAnsi="Calibri" w:cs="Calibri"/>
                <w:color w:val="000000"/>
                <w:sz w:val="20"/>
                <w:szCs w:val="20"/>
              </w:rPr>
              <w:t>2.0</w:t>
            </w:r>
          </w:p>
        </w:tc>
        <w:tc>
          <w:tcPr>
            <w:tcW w:w="4200" w:type="pct"/>
            <w:tcMar>
              <w:top w:w="90" w:type="dxa"/>
              <w:left w:w="135" w:type="dxa"/>
              <w:bottom w:w="90" w:type="dxa"/>
              <w:right w:w="135" w:type="dxa"/>
            </w:tcMar>
          </w:tcPr>
          <w:p w14:paraId="51C54BB3" w14:textId="77777777" w:rsidR="0018469C" w:rsidRDefault="00000000">
            <w:r>
              <w:rPr>
                <w:rFonts w:ascii="Calibri" w:eastAsia="Calibri" w:hAnsi="Calibri" w:cs="Calibri"/>
                <w:color w:val="000000"/>
                <w:sz w:val="20"/>
                <w:szCs w:val="20"/>
              </w:rPr>
              <w:t>Scope</w:t>
            </w:r>
          </w:p>
        </w:tc>
      </w:tr>
      <w:tr w:rsidR="0018469C" w14:paraId="775F1245" w14:textId="77777777">
        <w:tc>
          <w:tcPr>
            <w:tcW w:w="800" w:type="pct"/>
            <w:tcMar>
              <w:top w:w="90" w:type="dxa"/>
              <w:left w:w="135" w:type="dxa"/>
              <w:bottom w:w="90" w:type="dxa"/>
              <w:right w:w="135" w:type="dxa"/>
            </w:tcMar>
          </w:tcPr>
          <w:p w14:paraId="2D24584C" w14:textId="77777777" w:rsidR="0018469C" w:rsidRDefault="00000000">
            <w:r>
              <w:rPr>
                <w:rFonts w:ascii="Calibri" w:eastAsia="Calibri" w:hAnsi="Calibri" w:cs="Calibri"/>
                <w:color w:val="000000"/>
                <w:sz w:val="20"/>
                <w:szCs w:val="20"/>
              </w:rPr>
              <w:t>3.0</w:t>
            </w:r>
          </w:p>
        </w:tc>
        <w:tc>
          <w:tcPr>
            <w:tcW w:w="4200" w:type="pct"/>
            <w:tcMar>
              <w:top w:w="90" w:type="dxa"/>
              <w:left w:w="135" w:type="dxa"/>
              <w:bottom w:w="90" w:type="dxa"/>
              <w:right w:w="135" w:type="dxa"/>
            </w:tcMar>
          </w:tcPr>
          <w:p w14:paraId="665C20B1" w14:textId="77777777" w:rsidR="0018469C" w:rsidRDefault="00000000">
            <w:r>
              <w:rPr>
                <w:rFonts w:ascii="Calibri" w:eastAsia="Calibri" w:hAnsi="Calibri" w:cs="Calibri"/>
                <w:color w:val="000000"/>
                <w:sz w:val="20"/>
                <w:szCs w:val="20"/>
              </w:rPr>
              <w:t>Definitions</w:t>
            </w:r>
          </w:p>
        </w:tc>
      </w:tr>
      <w:tr w:rsidR="0018469C" w14:paraId="4EF42D5F" w14:textId="77777777">
        <w:tc>
          <w:tcPr>
            <w:tcW w:w="800" w:type="pct"/>
            <w:tcMar>
              <w:top w:w="90" w:type="dxa"/>
              <w:left w:w="135" w:type="dxa"/>
              <w:bottom w:w="90" w:type="dxa"/>
              <w:right w:w="135" w:type="dxa"/>
            </w:tcMar>
          </w:tcPr>
          <w:p w14:paraId="154CD775" w14:textId="77777777" w:rsidR="0018469C" w:rsidRDefault="00000000">
            <w:r>
              <w:rPr>
                <w:rFonts w:ascii="Calibri" w:eastAsia="Calibri" w:hAnsi="Calibri" w:cs="Calibri"/>
                <w:color w:val="000000"/>
                <w:sz w:val="20"/>
                <w:szCs w:val="20"/>
              </w:rPr>
              <w:t>4.0</w:t>
            </w:r>
          </w:p>
        </w:tc>
        <w:tc>
          <w:tcPr>
            <w:tcW w:w="4200" w:type="pct"/>
            <w:tcMar>
              <w:top w:w="90" w:type="dxa"/>
              <w:left w:w="135" w:type="dxa"/>
              <w:bottom w:w="90" w:type="dxa"/>
              <w:right w:w="135" w:type="dxa"/>
            </w:tcMar>
          </w:tcPr>
          <w:p w14:paraId="3FF256AE" w14:textId="77777777" w:rsidR="0018469C" w:rsidRDefault="00000000">
            <w:r>
              <w:rPr>
                <w:rFonts w:ascii="Calibri" w:eastAsia="Calibri" w:hAnsi="Calibri" w:cs="Calibri"/>
                <w:color w:val="000000"/>
                <w:sz w:val="20"/>
                <w:szCs w:val="20"/>
              </w:rPr>
              <w:t>Identity Proofing Requirements</w:t>
            </w:r>
          </w:p>
        </w:tc>
      </w:tr>
      <w:tr w:rsidR="0018469C" w14:paraId="2088F124" w14:textId="77777777">
        <w:tc>
          <w:tcPr>
            <w:tcW w:w="800" w:type="pct"/>
            <w:tcMar>
              <w:top w:w="90" w:type="dxa"/>
              <w:left w:w="135" w:type="dxa"/>
              <w:bottom w:w="90" w:type="dxa"/>
              <w:right w:w="135" w:type="dxa"/>
            </w:tcMar>
          </w:tcPr>
          <w:p w14:paraId="087D7F64" w14:textId="77777777" w:rsidR="0018469C" w:rsidRDefault="00000000">
            <w:r>
              <w:rPr>
                <w:rFonts w:ascii="Calibri" w:eastAsia="Calibri" w:hAnsi="Calibri" w:cs="Calibri"/>
                <w:color w:val="000000"/>
                <w:sz w:val="20"/>
                <w:szCs w:val="20"/>
              </w:rPr>
              <w:t>5.0</w:t>
            </w:r>
          </w:p>
        </w:tc>
        <w:tc>
          <w:tcPr>
            <w:tcW w:w="4200" w:type="pct"/>
            <w:tcMar>
              <w:top w:w="90" w:type="dxa"/>
              <w:left w:w="135" w:type="dxa"/>
              <w:bottom w:w="90" w:type="dxa"/>
              <w:right w:w="135" w:type="dxa"/>
            </w:tcMar>
          </w:tcPr>
          <w:p w14:paraId="518CC5B1" w14:textId="77777777" w:rsidR="0018469C" w:rsidRDefault="00000000">
            <w:r>
              <w:rPr>
                <w:rFonts w:ascii="Calibri" w:eastAsia="Calibri" w:hAnsi="Calibri" w:cs="Calibri"/>
                <w:color w:val="000000"/>
                <w:sz w:val="20"/>
                <w:szCs w:val="20"/>
              </w:rPr>
              <w:t>Multi-Signal Verification</w:t>
            </w:r>
          </w:p>
        </w:tc>
      </w:tr>
      <w:tr w:rsidR="0018469C" w14:paraId="65EA114D" w14:textId="77777777">
        <w:tc>
          <w:tcPr>
            <w:tcW w:w="800" w:type="pct"/>
            <w:tcMar>
              <w:top w:w="90" w:type="dxa"/>
              <w:left w:w="135" w:type="dxa"/>
              <w:bottom w:w="90" w:type="dxa"/>
              <w:right w:w="135" w:type="dxa"/>
            </w:tcMar>
          </w:tcPr>
          <w:p w14:paraId="4097C3C0" w14:textId="77777777" w:rsidR="0018469C" w:rsidRDefault="00000000">
            <w:r>
              <w:rPr>
                <w:rFonts w:ascii="Calibri" w:eastAsia="Calibri" w:hAnsi="Calibri" w:cs="Calibri"/>
                <w:color w:val="000000"/>
                <w:sz w:val="20"/>
                <w:szCs w:val="20"/>
              </w:rPr>
              <w:t>6.0</w:t>
            </w:r>
          </w:p>
        </w:tc>
        <w:tc>
          <w:tcPr>
            <w:tcW w:w="4200" w:type="pct"/>
            <w:tcMar>
              <w:top w:w="90" w:type="dxa"/>
              <w:left w:w="135" w:type="dxa"/>
              <w:bottom w:w="90" w:type="dxa"/>
              <w:right w:w="135" w:type="dxa"/>
            </w:tcMar>
          </w:tcPr>
          <w:p w14:paraId="193D7624" w14:textId="77777777" w:rsidR="0018469C" w:rsidRDefault="00000000">
            <w:r>
              <w:rPr>
                <w:rFonts w:ascii="Calibri" w:eastAsia="Calibri" w:hAnsi="Calibri" w:cs="Calibri"/>
                <w:color w:val="000000"/>
                <w:sz w:val="20"/>
                <w:szCs w:val="20"/>
              </w:rPr>
              <w:t>Continuous Monitoring</w:t>
            </w:r>
          </w:p>
        </w:tc>
      </w:tr>
      <w:tr w:rsidR="0018469C" w14:paraId="14D3D4C4" w14:textId="77777777">
        <w:tc>
          <w:tcPr>
            <w:tcW w:w="800" w:type="pct"/>
            <w:tcMar>
              <w:top w:w="90" w:type="dxa"/>
              <w:left w:w="135" w:type="dxa"/>
              <w:bottom w:w="90" w:type="dxa"/>
              <w:right w:w="135" w:type="dxa"/>
            </w:tcMar>
          </w:tcPr>
          <w:p w14:paraId="5FA6A916" w14:textId="77777777" w:rsidR="0018469C" w:rsidRDefault="00000000">
            <w:r>
              <w:rPr>
                <w:rFonts w:ascii="Calibri" w:eastAsia="Calibri" w:hAnsi="Calibri" w:cs="Calibri"/>
                <w:color w:val="000000"/>
                <w:sz w:val="20"/>
                <w:szCs w:val="20"/>
              </w:rPr>
              <w:t>7.0</w:t>
            </w:r>
          </w:p>
        </w:tc>
        <w:tc>
          <w:tcPr>
            <w:tcW w:w="4200" w:type="pct"/>
            <w:tcMar>
              <w:top w:w="90" w:type="dxa"/>
              <w:left w:w="135" w:type="dxa"/>
              <w:bottom w:w="90" w:type="dxa"/>
              <w:right w:w="135" w:type="dxa"/>
            </w:tcMar>
          </w:tcPr>
          <w:p w14:paraId="17B1A356" w14:textId="77777777" w:rsidR="0018469C" w:rsidRDefault="00000000">
            <w:r>
              <w:rPr>
                <w:rFonts w:ascii="Calibri" w:eastAsia="Calibri" w:hAnsi="Calibri" w:cs="Calibri"/>
                <w:color w:val="000000"/>
                <w:sz w:val="20"/>
                <w:szCs w:val="20"/>
              </w:rPr>
              <w:t>Agentic AI Impersonation Controls</w:t>
            </w:r>
          </w:p>
        </w:tc>
      </w:tr>
      <w:tr w:rsidR="0018469C" w14:paraId="1BB57342" w14:textId="77777777">
        <w:tc>
          <w:tcPr>
            <w:tcW w:w="800" w:type="pct"/>
            <w:tcMar>
              <w:top w:w="90" w:type="dxa"/>
              <w:left w:w="135" w:type="dxa"/>
              <w:bottom w:w="90" w:type="dxa"/>
              <w:right w:w="135" w:type="dxa"/>
            </w:tcMar>
          </w:tcPr>
          <w:p w14:paraId="1D96115D" w14:textId="77777777" w:rsidR="0018469C" w:rsidRDefault="00000000">
            <w:r>
              <w:rPr>
                <w:rFonts w:ascii="Calibri" w:eastAsia="Calibri" w:hAnsi="Calibri" w:cs="Calibri"/>
                <w:color w:val="000000"/>
                <w:sz w:val="20"/>
                <w:szCs w:val="20"/>
              </w:rPr>
              <w:t>8.0</w:t>
            </w:r>
          </w:p>
        </w:tc>
        <w:tc>
          <w:tcPr>
            <w:tcW w:w="4200" w:type="pct"/>
            <w:tcMar>
              <w:top w:w="90" w:type="dxa"/>
              <w:left w:w="135" w:type="dxa"/>
              <w:bottom w:w="90" w:type="dxa"/>
              <w:right w:w="135" w:type="dxa"/>
            </w:tcMar>
          </w:tcPr>
          <w:p w14:paraId="2124CC11" w14:textId="77777777" w:rsidR="0018469C" w:rsidRDefault="00000000">
            <w:r>
              <w:rPr>
                <w:rFonts w:ascii="Calibri" w:eastAsia="Calibri" w:hAnsi="Calibri" w:cs="Calibri"/>
                <w:color w:val="000000"/>
                <w:sz w:val="20"/>
                <w:szCs w:val="20"/>
              </w:rPr>
              <w:t>Governance and Accountability</w:t>
            </w:r>
          </w:p>
        </w:tc>
      </w:tr>
      <w:tr w:rsidR="0018469C" w14:paraId="7DDE2DBB" w14:textId="77777777">
        <w:tc>
          <w:tcPr>
            <w:tcW w:w="800" w:type="pct"/>
            <w:tcMar>
              <w:top w:w="90" w:type="dxa"/>
              <w:left w:w="135" w:type="dxa"/>
              <w:bottom w:w="90" w:type="dxa"/>
              <w:right w:w="135" w:type="dxa"/>
            </w:tcMar>
          </w:tcPr>
          <w:p w14:paraId="1B135E9B" w14:textId="77777777" w:rsidR="0018469C" w:rsidRDefault="00000000">
            <w:r>
              <w:rPr>
                <w:rFonts w:ascii="Calibri" w:eastAsia="Calibri" w:hAnsi="Calibri" w:cs="Calibri"/>
                <w:color w:val="000000"/>
                <w:sz w:val="20"/>
                <w:szCs w:val="20"/>
              </w:rPr>
              <w:t>9.0</w:t>
            </w:r>
          </w:p>
        </w:tc>
        <w:tc>
          <w:tcPr>
            <w:tcW w:w="4200" w:type="pct"/>
            <w:tcMar>
              <w:top w:w="90" w:type="dxa"/>
              <w:left w:w="135" w:type="dxa"/>
              <w:bottom w:w="90" w:type="dxa"/>
              <w:right w:w="135" w:type="dxa"/>
            </w:tcMar>
          </w:tcPr>
          <w:p w14:paraId="5121198E" w14:textId="77777777" w:rsidR="0018469C" w:rsidRDefault="00000000">
            <w:r>
              <w:rPr>
                <w:rFonts w:ascii="Calibri" w:eastAsia="Calibri" w:hAnsi="Calibri" w:cs="Calibri"/>
                <w:color w:val="000000"/>
                <w:sz w:val="20"/>
                <w:szCs w:val="20"/>
              </w:rPr>
              <w:t>Auditability and Recordkeeping</w:t>
            </w:r>
          </w:p>
        </w:tc>
      </w:tr>
      <w:tr w:rsidR="0018469C" w14:paraId="5F51DBF3" w14:textId="77777777">
        <w:tc>
          <w:tcPr>
            <w:tcW w:w="800" w:type="pct"/>
            <w:tcMar>
              <w:top w:w="90" w:type="dxa"/>
              <w:left w:w="135" w:type="dxa"/>
              <w:bottom w:w="90" w:type="dxa"/>
              <w:right w:w="135" w:type="dxa"/>
            </w:tcMar>
          </w:tcPr>
          <w:p w14:paraId="4F8D5445" w14:textId="77777777" w:rsidR="0018469C" w:rsidRDefault="00000000">
            <w:r>
              <w:rPr>
                <w:rFonts w:ascii="Calibri" w:eastAsia="Calibri" w:hAnsi="Calibri" w:cs="Calibri"/>
                <w:color w:val="000000"/>
                <w:sz w:val="20"/>
                <w:szCs w:val="20"/>
              </w:rPr>
              <w:t>10.0</w:t>
            </w:r>
          </w:p>
        </w:tc>
        <w:tc>
          <w:tcPr>
            <w:tcW w:w="4200" w:type="pct"/>
            <w:tcMar>
              <w:top w:w="90" w:type="dxa"/>
              <w:left w:w="135" w:type="dxa"/>
              <w:bottom w:w="90" w:type="dxa"/>
              <w:right w:w="135" w:type="dxa"/>
            </w:tcMar>
          </w:tcPr>
          <w:p w14:paraId="7BE6C649" w14:textId="77777777" w:rsidR="0018469C" w:rsidRDefault="00000000">
            <w:r>
              <w:rPr>
                <w:rFonts w:ascii="Calibri" w:eastAsia="Calibri" w:hAnsi="Calibri" w:cs="Calibri"/>
                <w:color w:val="000000"/>
                <w:sz w:val="20"/>
                <w:szCs w:val="20"/>
              </w:rPr>
              <w:t>Regulatory Alignment</w:t>
            </w:r>
          </w:p>
        </w:tc>
      </w:tr>
      <w:tr w:rsidR="0018469C" w14:paraId="49C7597E" w14:textId="77777777">
        <w:tc>
          <w:tcPr>
            <w:tcW w:w="800" w:type="pct"/>
            <w:tcMar>
              <w:top w:w="90" w:type="dxa"/>
              <w:left w:w="135" w:type="dxa"/>
              <w:bottom w:w="90" w:type="dxa"/>
              <w:right w:w="135" w:type="dxa"/>
            </w:tcMar>
          </w:tcPr>
          <w:p w14:paraId="626FD5D0" w14:textId="77777777" w:rsidR="0018469C" w:rsidRDefault="00000000">
            <w:r>
              <w:rPr>
                <w:rFonts w:ascii="Calibri" w:eastAsia="Calibri" w:hAnsi="Calibri" w:cs="Calibri"/>
                <w:color w:val="000000"/>
                <w:sz w:val="20"/>
                <w:szCs w:val="20"/>
              </w:rPr>
              <w:t>11.0</w:t>
            </w:r>
          </w:p>
        </w:tc>
        <w:tc>
          <w:tcPr>
            <w:tcW w:w="4200" w:type="pct"/>
            <w:tcMar>
              <w:top w:w="90" w:type="dxa"/>
              <w:left w:w="135" w:type="dxa"/>
              <w:bottom w:w="90" w:type="dxa"/>
              <w:right w:w="135" w:type="dxa"/>
            </w:tcMar>
          </w:tcPr>
          <w:p w14:paraId="776A72E9" w14:textId="77777777" w:rsidR="0018469C" w:rsidRDefault="00000000">
            <w:r>
              <w:rPr>
                <w:rFonts w:ascii="Calibri" w:eastAsia="Calibri" w:hAnsi="Calibri" w:cs="Calibri"/>
                <w:color w:val="000000"/>
                <w:sz w:val="20"/>
                <w:szCs w:val="20"/>
              </w:rPr>
              <w:t>Enforcement and Exceptions</w:t>
            </w:r>
          </w:p>
        </w:tc>
      </w:tr>
      <w:tr w:rsidR="0018469C" w14:paraId="56F8424D" w14:textId="77777777">
        <w:tc>
          <w:tcPr>
            <w:tcW w:w="800" w:type="pct"/>
            <w:tcMar>
              <w:top w:w="90" w:type="dxa"/>
              <w:left w:w="135" w:type="dxa"/>
              <w:bottom w:w="90" w:type="dxa"/>
              <w:right w:w="135" w:type="dxa"/>
            </w:tcMar>
          </w:tcPr>
          <w:p w14:paraId="7FC1128F" w14:textId="77777777" w:rsidR="0018469C" w:rsidRDefault="0018469C"/>
        </w:tc>
        <w:tc>
          <w:tcPr>
            <w:tcW w:w="4200" w:type="pct"/>
            <w:tcMar>
              <w:top w:w="90" w:type="dxa"/>
              <w:left w:w="135" w:type="dxa"/>
              <w:bottom w:w="90" w:type="dxa"/>
              <w:right w:w="135" w:type="dxa"/>
            </w:tcMar>
          </w:tcPr>
          <w:p w14:paraId="2CF1E559" w14:textId="77777777" w:rsidR="0018469C" w:rsidRDefault="00000000">
            <w:r>
              <w:rPr>
                <w:rFonts w:ascii="Calibri" w:eastAsia="Calibri" w:hAnsi="Calibri" w:cs="Calibri"/>
                <w:color w:val="000000"/>
                <w:sz w:val="20"/>
                <w:szCs w:val="20"/>
              </w:rPr>
              <w:t>Appendix A – Glossary Cross-Reference</w:t>
            </w:r>
          </w:p>
        </w:tc>
      </w:tr>
      <w:tr w:rsidR="0018469C" w14:paraId="6D646DEB" w14:textId="77777777">
        <w:tc>
          <w:tcPr>
            <w:tcW w:w="800" w:type="pct"/>
            <w:tcMar>
              <w:top w:w="90" w:type="dxa"/>
              <w:left w:w="135" w:type="dxa"/>
              <w:bottom w:w="90" w:type="dxa"/>
              <w:right w:w="135" w:type="dxa"/>
            </w:tcMar>
          </w:tcPr>
          <w:p w14:paraId="0D145BF1" w14:textId="77777777" w:rsidR="0018469C" w:rsidRDefault="0018469C"/>
        </w:tc>
        <w:tc>
          <w:tcPr>
            <w:tcW w:w="4200" w:type="pct"/>
            <w:tcMar>
              <w:top w:w="90" w:type="dxa"/>
              <w:left w:w="135" w:type="dxa"/>
              <w:bottom w:w="90" w:type="dxa"/>
              <w:right w:w="135" w:type="dxa"/>
            </w:tcMar>
          </w:tcPr>
          <w:p w14:paraId="6117E977" w14:textId="77777777" w:rsidR="0018469C" w:rsidRDefault="00000000">
            <w:r>
              <w:rPr>
                <w:rFonts w:ascii="Calibri" w:eastAsia="Calibri" w:hAnsi="Calibri" w:cs="Calibri"/>
                <w:color w:val="000000"/>
                <w:sz w:val="20"/>
                <w:szCs w:val="20"/>
              </w:rPr>
              <w:t>Appendix B – Related Policies</w:t>
            </w:r>
          </w:p>
        </w:tc>
      </w:tr>
      <w:tr w:rsidR="0018469C" w14:paraId="6F81E5C6" w14:textId="77777777">
        <w:tc>
          <w:tcPr>
            <w:tcW w:w="800" w:type="pct"/>
            <w:tcMar>
              <w:top w:w="90" w:type="dxa"/>
              <w:left w:w="135" w:type="dxa"/>
              <w:bottom w:w="90" w:type="dxa"/>
              <w:right w:w="135" w:type="dxa"/>
            </w:tcMar>
          </w:tcPr>
          <w:p w14:paraId="40D9BB98" w14:textId="77777777" w:rsidR="0018469C" w:rsidRDefault="0018469C"/>
        </w:tc>
        <w:tc>
          <w:tcPr>
            <w:tcW w:w="4200" w:type="pct"/>
            <w:tcMar>
              <w:top w:w="90" w:type="dxa"/>
              <w:left w:w="135" w:type="dxa"/>
              <w:bottom w:w="90" w:type="dxa"/>
              <w:right w:w="135" w:type="dxa"/>
            </w:tcMar>
          </w:tcPr>
          <w:p w14:paraId="7BFE8D5B" w14:textId="77777777" w:rsidR="0018469C" w:rsidRDefault="00000000">
            <w:r>
              <w:rPr>
                <w:rFonts w:ascii="Calibri" w:eastAsia="Calibri" w:hAnsi="Calibri" w:cs="Calibri"/>
                <w:color w:val="000000"/>
                <w:sz w:val="20"/>
                <w:szCs w:val="20"/>
              </w:rPr>
              <w:t>Appendix C – Revision History</w:t>
            </w:r>
          </w:p>
        </w:tc>
      </w:tr>
    </w:tbl>
    <w:p w14:paraId="6558D7BC" w14:textId="77777777" w:rsidR="0018469C" w:rsidRDefault="0018469C">
      <w:pPr>
        <w:spacing w:after="200"/>
      </w:pPr>
    </w:p>
    <w:p w14:paraId="1C593C6A" w14:textId="77777777" w:rsidR="0018469C" w:rsidRDefault="0018469C">
      <w:pPr>
        <w:pBdr>
          <w:bottom w:val="single" w:sz="6" w:space="0" w:color="000000"/>
        </w:pBdr>
        <w:spacing w:before="240" w:after="240"/>
      </w:pPr>
    </w:p>
    <w:p w14:paraId="266F5E50" w14:textId="77777777" w:rsidR="0018469C" w:rsidRDefault="00000000">
      <w:pPr>
        <w:pStyle w:val="Heading2"/>
        <w:spacing w:before="360" w:after="100" w:line="312" w:lineRule="auto"/>
      </w:pPr>
      <w:r>
        <w:rPr>
          <w:rFonts w:ascii="Calibri" w:eastAsia="Calibri" w:hAnsi="Calibri" w:cs="Calibri"/>
          <w:color w:val="1A1A1A"/>
          <w:sz w:val="28"/>
          <w:szCs w:val="28"/>
        </w:rPr>
        <w:t>1.0   Purpose</w:t>
      </w:r>
    </w:p>
    <w:p w14:paraId="1981F88F" w14:textId="77777777" w:rsidR="0018469C" w:rsidRDefault="0018469C">
      <w:pPr>
        <w:pBdr>
          <w:top w:val="single" w:sz="6" w:space="0" w:color="2B5797"/>
        </w:pBdr>
        <w:spacing w:after="200"/>
      </w:pPr>
    </w:p>
    <w:p w14:paraId="2A294318" w14:textId="77777777" w:rsidR="0018469C" w:rsidRDefault="00000000">
      <w:pPr>
        <w:spacing w:before="60" w:after="120" w:line="360" w:lineRule="auto"/>
      </w:pPr>
      <w:r>
        <w:rPr>
          <w:rFonts w:ascii="Calibri" w:eastAsia="Calibri" w:hAnsi="Calibri" w:cs="Calibri"/>
          <w:color w:val="000000"/>
          <w:sz w:val="22"/>
          <w:szCs w:val="22"/>
        </w:rPr>
        <w:t xml:space="preserve">This policy establishes the Know Your Customer (KYC) framework governing the institution's online banking channels, including all digital account origination, identity verification, customer due diligence, and ongoing monitoring activities conducted through electronic or automated means. The policy sets </w:t>
      </w:r>
      <w:r>
        <w:rPr>
          <w:rFonts w:ascii="Calibri" w:eastAsia="Calibri" w:hAnsi="Calibri" w:cs="Calibri"/>
          <w:color w:val="000000"/>
          <w:sz w:val="22"/>
          <w:szCs w:val="22"/>
        </w:rPr>
        <w:lastRenderedPageBreak/>
        <w:t>forth the minimum standards and control requirements that the institution must satisfy in fulfilling its obligations under applicable federal law and regulatory guidance.</w:t>
      </w:r>
    </w:p>
    <w:p w14:paraId="0BFFAB97" w14:textId="77777777" w:rsidR="0018469C" w:rsidRDefault="00000000">
      <w:pPr>
        <w:spacing w:before="60" w:after="120" w:line="360" w:lineRule="auto"/>
      </w:pPr>
      <w:r>
        <w:rPr>
          <w:rFonts w:ascii="Calibri" w:eastAsia="Calibri" w:hAnsi="Calibri" w:cs="Calibri"/>
          <w:color w:val="000000"/>
          <w:sz w:val="22"/>
          <w:szCs w:val="22"/>
        </w:rPr>
        <w:t>The institution's KYC program is designed to achieve compliance with the following primary legal and regulatory authorities:</w:t>
      </w:r>
    </w:p>
    <w:p w14:paraId="6A667859"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The </w:t>
      </w:r>
      <w:r>
        <w:rPr>
          <w:rFonts w:ascii="Calibri" w:eastAsia="Calibri" w:hAnsi="Calibri" w:cs="Calibri"/>
          <w:b/>
          <w:bCs/>
          <w:color w:val="000000"/>
          <w:sz w:val="22"/>
          <w:szCs w:val="22"/>
        </w:rPr>
        <w:t>Bank Secrecy Act (BSA)</w:t>
      </w:r>
      <w:r>
        <w:rPr>
          <w:rFonts w:ascii="Calibri" w:eastAsia="Calibri" w:hAnsi="Calibri" w:cs="Calibri"/>
          <w:color w:val="000000"/>
          <w:sz w:val="22"/>
          <w:szCs w:val="22"/>
        </w:rPr>
        <w:t>, 31 U.S.C. §§ 5311–5330, and its implementing regulations, which form the cornerstone of the United States anti-money laundering (AML) and countering the financing of terrorism (CFT) framework;</w:t>
      </w:r>
    </w:p>
    <w:p w14:paraId="7823ECE2" w14:textId="77777777" w:rsidR="0018469C" w:rsidRDefault="00000000">
      <w:pPr>
        <w:pStyle w:val="ListParagraph"/>
        <w:numPr>
          <w:ilvl w:val="0"/>
          <w:numId w:val="1"/>
        </w:numPr>
        <w:spacing w:after="60" w:line="408" w:lineRule="auto"/>
      </w:pPr>
      <w:r>
        <w:rPr>
          <w:rFonts w:ascii="Calibri" w:eastAsia="Calibri" w:hAnsi="Calibri" w:cs="Calibri"/>
          <w:b/>
          <w:bCs/>
          <w:color w:val="000000"/>
          <w:sz w:val="22"/>
          <w:szCs w:val="22"/>
        </w:rPr>
        <w:t>FinCEN's Customer Identification Program (CIP) Rule</w:t>
      </w:r>
      <w:r>
        <w:rPr>
          <w:rFonts w:ascii="Calibri" w:eastAsia="Calibri" w:hAnsi="Calibri" w:cs="Calibri"/>
          <w:color w:val="000000"/>
          <w:sz w:val="22"/>
          <w:szCs w:val="22"/>
        </w:rPr>
        <w:t>, 31 CFR 1020.220, which mandates collection and verification of customer identity at account opening;</w:t>
      </w:r>
    </w:p>
    <w:p w14:paraId="1543924A" w14:textId="77777777" w:rsidR="0018469C" w:rsidRDefault="00000000">
      <w:pPr>
        <w:pStyle w:val="ListParagraph"/>
        <w:numPr>
          <w:ilvl w:val="0"/>
          <w:numId w:val="1"/>
        </w:numPr>
        <w:spacing w:after="60" w:line="408" w:lineRule="auto"/>
      </w:pPr>
      <w:r>
        <w:rPr>
          <w:rFonts w:ascii="Calibri" w:eastAsia="Calibri" w:hAnsi="Calibri" w:cs="Calibri"/>
          <w:b/>
          <w:bCs/>
          <w:color w:val="000000"/>
          <w:sz w:val="22"/>
          <w:szCs w:val="22"/>
        </w:rPr>
        <w:t>FinCEN's Customer Due Diligence (CDD) Rule</w:t>
      </w:r>
      <w:r>
        <w:rPr>
          <w:rFonts w:ascii="Calibri" w:eastAsia="Calibri" w:hAnsi="Calibri" w:cs="Calibri"/>
          <w:color w:val="000000"/>
          <w:sz w:val="22"/>
          <w:szCs w:val="22"/>
        </w:rPr>
        <w:t>, 31 CFR 1010.230, which requires covered financial institutions to understand the nature and purpose of customer relationships and to conduct ongoing monitoring;</w:t>
      </w:r>
    </w:p>
    <w:p w14:paraId="5C4FE1D8" w14:textId="77777777" w:rsidR="0018469C" w:rsidRDefault="00000000">
      <w:pPr>
        <w:pStyle w:val="ListParagraph"/>
        <w:numPr>
          <w:ilvl w:val="0"/>
          <w:numId w:val="1"/>
        </w:numPr>
        <w:spacing w:after="60" w:line="408" w:lineRule="auto"/>
      </w:pPr>
      <w:r>
        <w:rPr>
          <w:rFonts w:ascii="Calibri" w:eastAsia="Calibri" w:hAnsi="Calibri" w:cs="Calibri"/>
          <w:b/>
          <w:bCs/>
          <w:color w:val="000000"/>
          <w:sz w:val="22"/>
          <w:szCs w:val="22"/>
        </w:rPr>
        <w:t>FFIEC BSA/AML Examination Manual</w:t>
      </w:r>
      <w:r>
        <w:rPr>
          <w:rFonts w:ascii="Calibri" w:eastAsia="Calibri" w:hAnsi="Calibri" w:cs="Calibri"/>
          <w:color w:val="000000"/>
          <w:sz w:val="22"/>
          <w:szCs w:val="22"/>
        </w:rPr>
        <w:t>, which establishes supervisory expectations for AML program design, transaction monitoring, and suspicious activity reporting;</w:t>
      </w:r>
    </w:p>
    <w:p w14:paraId="7F9807D0" w14:textId="77777777" w:rsidR="0018469C" w:rsidRDefault="00000000">
      <w:pPr>
        <w:pStyle w:val="ListParagraph"/>
        <w:numPr>
          <w:ilvl w:val="0"/>
          <w:numId w:val="1"/>
        </w:numPr>
        <w:spacing w:after="60" w:line="408" w:lineRule="auto"/>
      </w:pPr>
      <w:r>
        <w:rPr>
          <w:rFonts w:ascii="Calibri" w:eastAsia="Calibri" w:hAnsi="Calibri" w:cs="Calibri"/>
          <w:b/>
          <w:bCs/>
          <w:color w:val="000000"/>
          <w:sz w:val="22"/>
          <w:szCs w:val="22"/>
        </w:rPr>
        <w:t>NIST Special Publication 800-63-3</w:t>
      </w:r>
      <w:r>
        <w:rPr>
          <w:rFonts w:ascii="Calibri" w:eastAsia="Calibri" w:hAnsi="Calibri" w:cs="Calibri"/>
          <w:color w:val="000000"/>
          <w:sz w:val="22"/>
          <w:szCs w:val="22"/>
        </w:rPr>
        <w:t xml:space="preserve"> (Digital Identity Guidelines), including its companion volumes 800-63A (Enrollment and Identity Proofing), 800-63B (Authentication and Lifecycle Management), and 800-63C (Federation and Assertions), which define authoritative standards for remote digital identity proofing and assurance levels; and</w:t>
      </w:r>
    </w:p>
    <w:p w14:paraId="0670A96E"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Applicable requirements of the </w:t>
      </w:r>
      <w:r>
        <w:rPr>
          <w:rFonts w:ascii="Calibri" w:eastAsia="Calibri" w:hAnsi="Calibri" w:cs="Calibri"/>
          <w:b/>
          <w:bCs/>
          <w:color w:val="000000"/>
          <w:sz w:val="22"/>
          <w:szCs w:val="22"/>
        </w:rPr>
        <w:t>Corporate Transparency Act</w:t>
      </w:r>
      <w:r>
        <w:rPr>
          <w:rFonts w:ascii="Calibri" w:eastAsia="Calibri" w:hAnsi="Calibri" w:cs="Calibri"/>
          <w:color w:val="000000"/>
          <w:sz w:val="22"/>
          <w:szCs w:val="22"/>
        </w:rPr>
        <w:t xml:space="preserve"> and </w:t>
      </w:r>
      <w:r>
        <w:rPr>
          <w:rFonts w:ascii="Calibri" w:eastAsia="Calibri" w:hAnsi="Calibri" w:cs="Calibri"/>
          <w:b/>
          <w:bCs/>
          <w:color w:val="000000"/>
          <w:sz w:val="22"/>
          <w:szCs w:val="22"/>
        </w:rPr>
        <w:t>FinCEN Beneficial Ownership Information (BOI) Rule</w:t>
      </w:r>
      <w:r>
        <w:rPr>
          <w:rFonts w:ascii="Calibri" w:eastAsia="Calibri" w:hAnsi="Calibri" w:cs="Calibri"/>
          <w:color w:val="000000"/>
          <w:sz w:val="22"/>
          <w:szCs w:val="22"/>
        </w:rPr>
        <w:t>.</w:t>
      </w:r>
    </w:p>
    <w:p w14:paraId="2B20A5F9" w14:textId="77777777" w:rsidR="0018469C" w:rsidRDefault="00000000">
      <w:pPr>
        <w:spacing w:before="60" w:after="120" w:line="360" w:lineRule="auto"/>
      </w:pPr>
      <w:r>
        <w:rPr>
          <w:rFonts w:ascii="Calibri" w:eastAsia="Calibri" w:hAnsi="Calibri" w:cs="Calibri"/>
          <w:color w:val="000000"/>
          <w:sz w:val="22"/>
          <w:szCs w:val="22"/>
        </w:rPr>
        <w:t>The institution recognizes that the emerging threat landscape presents novel and material risks that were not contemplated by the foundational regulatory texts cited above. In particular, AI-driven fraud — including, without limitation, the use of synthetic identities constructed from combinations of real and fictitious personally identifiable information; deepfake audio, video, and image media designed to defeat biometric controls; and autonomous agentic AI systems acting on behalf of customers without real-time human involvement or disclosure — presents explicit policy treatment requirements beyond the scope of existing regulations.</w:t>
      </w:r>
    </w:p>
    <w:p w14:paraId="1E8C0019" w14:textId="77777777" w:rsidR="0018469C" w:rsidRDefault="00000000">
      <w:pPr>
        <w:spacing w:before="60" w:after="120" w:line="360" w:lineRule="auto"/>
      </w:pPr>
      <w:r>
        <w:rPr>
          <w:rFonts w:ascii="Calibri" w:eastAsia="Calibri" w:hAnsi="Calibri" w:cs="Calibri"/>
          <w:color w:val="000000"/>
          <w:sz w:val="22"/>
          <w:szCs w:val="22"/>
        </w:rPr>
        <w:t xml:space="preserve">This policy accordingly establishes specific, technically enforceable controls to detect, mitigate, and respond to AI impersonation risk in the digital banking context. These controls are designed to ensure that the human presence and identity verification requirements that </w:t>
      </w:r>
      <w:proofErr w:type="gramStart"/>
      <w:r>
        <w:rPr>
          <w:rFonts w:ascii="Calibri" w:eastAsia="Calibri" w:hAnsi="Calibri" w:cs="Calibri"/>
          <w:color w:val="000000"/>
          <w:sz w:val="22"/>
          <w:szCs w:val="22"/>
        </w:rPr>
        <w:t>underlie</w:t>
      </w:r>
      <w:proofErr w:type="gramEnd"/>
      <w:r>
        <w:rPr>
          <w:rFonts w:ascii="Calibri" w:eastAsia="Calibri" w:hAnsi="Calibri" w:cs="Calibri"/>
          <w:color w:val="000000"/>
          <w:sz w:val="22"/>
          <w:szCs w:val="22"/>
        </w:rPr>
        <w:t xml:space="preserve"> the institution's legal </w:t>
      </w:r>
      <w:r>
        <w:rPr>
          <w:rFonts w:ascii="Calibri" w:eastAsia="Calibri" w:hAnsi="Calibri" w:cs="Calibri"/>
          <w:color w:val="000000"/>
          <w:sz w:val="22"/>
          <w:szCs w:val="22"/>
        </w:rPr>
        <w:lastRenderedPageBreak/>
        <w:t>obligations are not circumvented by artificial means, whether intentionally or inadvertently, through the use of agentic AI systems.</w:t>
      </w:r>
    </w:p>
    <w:p w14:paraId="7BEC9339" w14:textId="77777777" w:rsidR="0018469C" w:rsidRDefault="0018469C">
      <w:pPr>
        <w:pBdr>
          <w:bottom w:val="single" w:sz="6" w:space="0" w:color="000000"/>
        </w:pBdr>
        <w:spacing w:before="240" w:after="240"/>
      </w:pPr>
    </w:p>
    <w:p w14:paraId="3DD8F13C" w14:textId="77777777" w:rsidR="0018469C" w:rsidRDefault="00000000">
      <w:pPr>
        <w:pStyle w:val="Heading2"/>
        <w:spacing w:before="360" w:after="100" w:line="312" w:lineRule="auto"/>
      </w:pPr>
      <w:r>
        <w:rPr>
          <w:rFonts w:ascii="Calibri" w:eastAsia="Calibri" w:hAnsi="Calibri" w:cs="Calibri"/>
          <w:color w:val="1A1A1A"/>
          <w:sz w:val="28"/>
          <w:szCs w:val="28"/>
        </w:rPr>
        <w:t>2.0   Scope</w:t>
      </w:r>
    </w:p>
    <w:p w14:paraId="46AB6AA1" w14:textId="77777777" w:rsidR="0018469C" w:rsidRDefault="0018469C">
      <w:pPr>
        <w:pBdr>
          <w:top w:val="single" w:sz="6" w:space="0" w:color="2B5797"/>
        </w:pBdr>
        <w:spacing w:after="200"/>
      </w:pPr>
    </w:p>
    <w:p w14:paraId="3926888B" w14:textId="77777777" w:rsidR="0018469C" w:rsidRDefault="00000000">
      <w:pPr>
        <w:spacing w:before="60" w:after="120" w:line="360" w:lineRule="auto"/>
      </w:pPr>
      <w:r>
        <w:rPr>
          <w:rFonts w:ascii="Calibri" w:eastAsia="Calibri" w:hAnsi="Calibri" w:cs="Calibri"/>
          <w:color w:val="000000"/>
          <w:sz w:val="22"/>
          <w:szCs w:val="22"/>
        </w:rPr>
        <w:t>This policy applies to all of the following persons, systems, and activities:</w:t>
      </w:r>
    </w:p>
    <w:p w14:paraId="1650FF1C" w14:textId="77777777" w:rsidR="0018469C" w:rsidRDefault="00000000">
      <w:pPr>
        <w:pStyle w:val="Heading3"/>
        <w:spacing w:before="240" w:after="80" w:line="312" w:lineRule="auto"/>
      </w:pPr>
      <w:r>
        <w:rPr>
          <w:rFonts w:ascii="Calibri" w:eastAsia="Calibri" w:hAnsi="Calibri" w:cs="Calibri"/>
          <w:color w:val="1A1A1A"/>
          <w:sz w:val="24"/>
          <w:szCs w:val="24"/>
        </w:rPr>
        <w:t>2.1   Account Coverage</w:t>
      </w:r>
    </w:p>
    <w:p w14:paraId="3C579B01" w14:textId="77777777" w:rsidR="0018469C" w:rsidRDefault="00000000">
      <w:pPr>
        <w:spacing w:before="60" w:after="120" w:line="360" w:lineRule="auto"/>
      </w:pPr>
      <w:r>
        <w:rPr>
          <w:rFonts w:ascii="Calibri" w:eastAsia="Calibri" w:hAnsi="Calibri" w:cs="Calibri"/>
          <w:color w:val="000000"/>
          <w:sz w:val="22"/>
          <w:szCs w:val="22"/>
        </w:rPr>
        <w:t>All personal, business, and beneficial owner accounts opened or maintained through digital or online channels, including mobile applications, web portals, API-based account origination platforms, and any third-party digital onboarding tools operating on behalf of or in partnership with the institution.</w:t>
      </w:r>
    </w:p>
    <w:p w14:paraId="07E25A4C" w14:textId="77777777" w:rsidR="0018469C" w:rsidRDefault="00000000">
      <w:pPr>
        <w:pStyle w:val="Heading3"/>
        <w:spacing w:before="240" w:after="80" w:line="312" w:lineRule="auto"/>
      </w:pPr>
      <w:r>
        <w:rPr>
          <w:rFonts w:ascii="Calibri" w:eastAsia="Calibri" w:hAnsi="Calibri" w:cs="Calibri"/>
          <w:color w:val="1A1A1A"/>
          <w:sz w:val="24"/>
          <w:szCs w:val="24"/>
        </w:rPr>
        <w:t>2.2   Personnel Coverage</w:t>
      </w:r>
    </w:p>
    <w:p w14:paraId="11AEBC6D" w14:textId="77777777" w:rsidR="0018469C" w:rsidRDefault="00000000">
      <w:pPr>
        <w:spacing w:before="60" w:after="120" w:line="360" w:lineRule="auto"/>
      </w:pPr>
      <w:r>
        <w:rPr>
          <w:rFonts w:ascii="Calibri" w:eastAsia="Calibri" w:hAnsi="Calibri" w:cs="Calibri"/>
          <w:color w:val="000000"/>
          <w:sz w:val="22"/>
          <w:szCs w:val="22"/>
        </w:rPr>
        <w:t>All bank employees, contractors, contingent workers, and third-party vendors who are involved in any stage of customer onboarding, identity verification, account servicing, transaction monitoring, suspicious activity reporting, or the design, deployment, or oversight of technology systems used in those activities.</w:t>
      </w:r>
    </w:p>
    <w:p w14:paraId="777F5884" w14:textId="77777777" w:rsidR="0018469C" w:rsidRDefault="00000000">
      <w:pPr>
        <w:pStyle w:val="Heading3"/>
        <w:spacing w:before="240" w:after="80" w:line="312" w:lineRule="auto"/>
      </w:pPr>
      <w:r>
        <w:rPr>
          <w:rFonts w:ascii="Calibri" w:eastAsia="Calibri" w:hAnsi="Calibri" w:cs="Calibri"/>
          <w:color w:val="1A1A1A"/>
          <w:sz w:val="24"/>
          <w:szCs w:val="24"/>
        </w:rPr>
        <w:t>2.3   Technology and Platform Coverage</w:t>
      </w:r>
    </w:p>
    <w:p w14:paraId="6B73C59F" w14:textId="77777777" w:rsidR="0018469C" w:rsidRDefault="00000000">
      <w:pPr>
        <w:spacing w:before="60" w:after="120" w:line="360" w:lineRule="auto"/>
      </w:pPr>
      <w:r>
        <w:rPr>
          <w:rFonts w:ascii="Calibri" w:eastAsia="Calibri" w:hAnsi="Calibri" w:cs="Calibri"/>
          <w:color w:val="000000"/>
          <w:sz w:val="22"/>
          <w:szCs w:val="22"/>
        </w:rPr>
        <w:t>All technology platforms, application programming interfaces (APIs), software development kits (SDKs), and third-party identity verification services used in digital account origination or transaction processing, including biometric verification providers, document authentication services, behavioral analytics platforms, and fraud detection systems.</w:t>
      </w:r>
    </w:p>
    <w:p w14:paraId="537166C3" w14:textId="77777777" w:rsidR="0018469C" w:rsidRDefault="00000000">
      <w:pPr>
        <w:pStyle w:val="Heading3"/>
        <w:spacing w:before="240" w:after="80" w:line="312" w:lineRule="auto"/>
      </w:pPr>
      <w:r>
        <w:rPr>
          <w:rFonts w:ascii="Calibri" w:eastAsia="Calibri" w:hAnsi="Calibri" w:cs="Calibri"/>
          <w:color w:val="1A1A1A"/>
          <w:sz w:val="24"/>
          <w:szCs w:val="24"/>
        </w:rPr>
        <w:t>2.4   Agentic AI Interactions</w:t>
      </w:r>
    </w:p>
    <w:p w14:paraId="40802660" w14:textId="77777777" w:rsidR="0018469C" w:rsidRDefault="00000000">
      <w:pPr>
        <w:spacing w:before="60" w:after="120" w:line="360" w:lineRule="auto"/>
      </w:pPr>
      <w:r>
        <w:rPr>
          <w:rFonts w:ascii="Calibri" w:eastAsia="Calibri" w:hAnsi="Calibri" w:cs="Calibri"/>
          <w:color w:val="000000"/>
          <w:sz w:val="22"/>
          <w:szCs w:val="22"/>
        </w:rPr>
        <w:t>This policy explicitly and specifically applies to interactions where a customer or applicant is or may be represented — in whole or in part — by an agentic AI system. For purposes of this section, agentic AI systems include autonomous software agents, AI assistants, large language model (LLM)-based agents, robotic process automation (RPA) bots, multi-agent pipelines, browser-based automation tools, or any similar technology capable of initiating, navigating, or completing banking workflows on behalf of a natural person or legal entity without real-time human involvement at each step of the interaction.</w:t>
      </w:r>
    </w:p>
    <w:p w14:paraId="0F4CFB0F" w14:textId="77777777" w:rsidR="0018469C" w:rsidRDefault="0018469C">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8469C" w14:paraId="0A94EECD" w14:textId="77777777">
        <w:tc>
          <w:tcPr>
            <w:tcW w:w="0" w:type="auto"/>
            <w:tcBorders>
              <w:top w:val="single" w:sz="6" w:space="0" w:color="2B5797"/>
              <w:left w:val="single" w:sz="6" w:space="0" w:color="2B5797"/>
              <w:bottom w:val="single" w:sz="6" w:space="0" w:color="2B5797"/>
              <w:right w:val="single" w:sz="6" w:space="0" w:color="2B5797"/>
            </w:tcBorders>
            <w:shd w:val="clear" w:color="auto" w:fill="FFF4E0"/>
            <w:tcMar>
              <w:top w:w="150" w:type="dxa"/>
              <w:left w:w="210" w:type="dxa"/>
              <w:bottom w:w="150" w:type="dxa"/>
              <w:right w:w="210" w:type="dxa"/>
            </w:tcMar>
          </w:tcPr>
          <w:p w14:paraId="17481B2F" w14:textId="77777777" w:rsidR="0018469C" w:rsidRDefault="00000000">
            <w:pPr>
              <w:spacing w:after="60" w:line="360" w:lineRule="auto"/>
            </w:pPr>
            <w:r>
              <w:rPr>
                <w:rFonts w:ascii="Calibri" w:eastAsia="Calibri" w:hAnsi="Calibri" w:cs="Calibri"/>
                <w:b/>
                <w:bCs/>
                <w:color w:val="2B5797"/>
                <w:sz w:val="22"/>
                <w:szCs w:val="22"/>
              </w:rPr>
              <w:lastRenderedPageBreak/>
              <w:t>Scope Clarification – Agentic AI</w:t>
            </w:r>
          </w:p>
          <w:p w14:paraId="44479E69" w14:textId="77777777" w:rsidR="0018469C" w:rsidRDefault="00000000">
            <w:pPr>
              <w:spacing w:line="360" w:lineRule="auto"/>
            </w:pPr>
            <w:r>
              <w:rPr>
                <w:rFonts w:ascii="Calibri" w:eastAsia="Calibri" w:hAnsi="Calibri" w:cs="Calibri"/>
                <w:color w:val="000000"/>
                <w:sz w:val="22"/>
                <w:szCs w:val="22"/>
              </w:rPr>
              <w:t xml:space="preserve">The applicability of this policy to </w:t>
            </w:r>
            <w:proofErr w:type="gramStart"/>
            <w:r>
              <w:rPr>
                <w:rFonts w:ascii="Calibri" w:eastAsia="Calibri" w:hAnsi="Calibri" w:cs="Calibri"/>
                <w:color w:val="000000"/>
                <w:sz w:val="22"/>
                <w:szCs w:val="22"/>
              </w:rPr>
              <w:t>agentic</w:t>
            </w:r>
            <w:proofErr w:type="gramEnd"/>
            <w:r>
              <w:rPr>
                <w:rFonts w:ascii="Calibri" w:eastAsia="Calibri" w:hAnsi="Calibri" w:cs="Calibri"/>
                <w:color w:val="000000"/>
                <w:sz w:val="22"/>
                <w:szCs w:val="22"/>
              </w:rPr>
              <w:t xml:space="preserve"> AI interactions is not limited to circumstances where the institution has affirmative knowledge that such a system is being used. This policy applies equally where the use of an agentic AI system is suspected based on detected signals, as described in Section 7.0, even in the absence of customer disclosure.</w:t>
            </w:r>
          </w:p>
        </w:tc>
      </w:tr>
    </w:tbl>
    <w:p w14:paraId="0E99DAFC" w14:textId="77777777" w:rsidR="0018469C" w:rsidRDefault="0018469C">
      <w:pPr>
        <w:spacing w:after="240"/>
      </w:pPr>
    </w:p>
    <w:p w14:paraId="3F72A4FA" w14:textId="77777777" w:rsidR="0018469C" w:rsidRDefault="0018469C">
      <w:pPr>
        <w:pBdr>
          <w:bottom w:val="single" w:sz="6" w:space="0" w:color="000000"/>
        </w:pBdr>
        <w:spacing w:before="240" w:after="240"/>
      </w:pPr>
    </w:p>
    <w:p w14:paraId="2C2FE3D6" w14:textId="77777777" w:rsidR="0018469C" w:rsidRDefault="00000000">
      <w:pPr>
        <w:pStyle w:val="Heading2"/>
        <w:spacing w:before="360" w:after="100" w:line="312" w:lineRule="auto"/>
      </w:pPr>
      <w:r>
        <w:rPr>
          <w:rFonts w:ascii="Calibri" w:eastAsia="Calibri" w:hAnsi="Calibri" w:cs="Calibri"/>
          <w:color w:val="1A1A1A"/>
          <w:sz w:val="28"/>
          <w:szCs w:val="28"/>
        </w:rPr>
        <w:t>3.0   Definitions</w:t>
      </w:r>
    </w:p>
    <w:p w14:paraId="44445A7D" w14:textId="77777777" w:rsidR="0018469C" w:rsidRDefault="0018469C">
      <w:pPr>
        <w:pBdr>
          <w:top w:val="single" w:sz="6" w:space="0" w:color="2B5797"/>
        </w:pBdr>
        <w:spacing w:after="200"/>
      </w:pPr>
    </w:p>
    <w:p w14:paraId="0D504DC5" w14:textId="77777777" w:rsidR="0018469C" w:rsidRDefault="00000000">
      <w:pPr>
        <w:spacing w:before="60" w:after="120" w:line="360" w:lineRule="auto"/>
      </w:pPr>
      <w:r>
        <w:rPr>
          <w:rFonts w:ascii="Calibri" w:eastAsia="Calibri" w:hAnsi="Calibri" w:cs="Calibri"/>
          <w:color w:val="000000"/>
          <w:sz w:val="22"/>
          <w:szCs w:val="22"/>
        </w:rPr>
        <w:t>The following terms are used throughout this policy. Capitalized terms not otherwise defined herein shall have the meanings ascribed to them under the Bank Secrecy Act and its implementing regulations.</w:t>
      </w:r>
    </w:p>
    <w:p w14:paraId="5CC448AB" w14:textId="77777777" w:rsidR="0018469C" w:rsidRDefault="00000000">
      <w:pPr>
        <w:spacing w:after="240" w:line="360" w:lineRule="auto"/>
      </w:pPr>
      <w:r>
        <w:rPr>
          <w:rFonts w:ascii="Calibri" w:eastAsia="Calibri" w:hAnsi="Calibri" w:cs="Calibri"/>
          <w:color w:val="000000"/>
          <w:sz w:val="22"/>
          <w:szCs w:val="22"/>
        </w:rPr>
        <w:t>Agentic AI System</w:t>
      </w:r>
    </w:p>
    <w:p w14:paraId="7124BA9C" w14:textId="77777777" w:rsidR="0018469C" w:rsidRDefault="00000000">
      <w:pPr>
        <w:spacing w:after="240" w:line="360" w:lineRule="auto"/>
      </w:pPr>
      <w:r>
        <w:rPr>
          <w:rFonts w:ascii="Calibri" w:eastAsia="Calibri" w:hAnsi="Calibri" w:cs="Calibri"/>
          <w:color w:val="000000"/>
          <w:sz w:val="22"/>
          <w:szCs w:val="22"/>
        </w:rPr>
        <w:t>An autonomous software agent powered by artificial intelligence — including large language model (LLM)-based agents, robotic process automation (RPA) bots, or multi-agent pipelines — capable of initiating, navigating, and completing banking workflows on behalf of a human principal without real-time human involvement at each step of the process.</w:t>
      </w:r>
    </w:p>
    <w:p w14:paraId="2917E17E" w14:textId="77777777" w:rsidR="0018469C" w:rsidRDefault="00000000">
      <w:pPr>
        <w:spacing w:after="240" w:line="360" w:lineRule="auto"/>
      </w:pPr>
      <w:r>
        <w:rPr>
          <w:rFonts w:ascii="Calibri" w:eastAsia="Calibri" w:hAnsi="Calibri" w:cs="Calibri"/>
          <w:color w:val="000000"/>
          <w:sz w:val="22"/>
          <w:szCs w:val="22"/>
        </w:rPr>
        <w:t>AI Impersonation Risk</w:t>
      </w:r>
    </w:p>
    <w:p w14:paraId="14326B21" w14:textId="77777777" w:rsidR="0018469C" w:rsidRDefault="00000000">
      <w:pPr>
        <w:spacing w:after="240" w:line="360" w:lineRule="auto"/>
      </w:pPr>
      <w:r>
        <w:rPr>
          <w:rFonts w:ascii="Calibri" w:eastAsia="Calibri" w:hAnsi="Calibri" w:cs="Calibri"/>
          <w:color w:val="000000"/>
          <w:sz w:val="22"/>
          <w:szCs w:val="22"/>
        </w:rPr>
        <w:t>The risk that an agentic AI system misrepresents itself as a human customer during identity proofing, authentication, or account servicing interactions, thereby circumventing human-presence requirements and defeating the institution's identity assurance controls.</w:t>
      </w:r>
    </w:p>
    <w:p w14:paraId="6D4487FC" w14:textId="77777777" w:rsidR="0018469C" w:rsidRDefault="00000000">
      <w:pPr>
        <w:spacing w:after="240" w:line="360" w:lineRule="auto"/>
      </w:pPr>
      <w:r>
        <w:rPr>
          <w:rFonts w:ascii="Calibri" w:eastAsia="Calibri" w:hAnsi="Calibri" w:cs="Calibri"/>
          <w:color w:val="000000"/>
          <w:sz w:val="22"/>
          <w:szCs w:val="22"/>
        </w:rPr>
        <w:t>Customer Identification Program (CIP)</w:t>
      </w:r>
    </w:p>
    <w:p w14:paraId="7921B4D2" w14:textId="77777777" w:rsidR="0018469C" w:rsidRDefault="00000000">
      <w:pPr>
        <w:spacing w:after="240" w:line="360" w:lineRule="auto"/>
      </w:pPr>
      <w:r>
        <w:rPr>
          <w:rFonts w:ascii="Calibri" w:eastAsia="Calibri" w:hAnsi="Calibri" w:cs="Calibri"/>
          <w:color w:val="000000"/>
          <w:sz w:val="22"/>
          <w:szCs w:val="22"/>
        </w:rPr>
        <w:t>The institution's documented program for collecting and verifying the identity of each customer at the time of account opening, as required under 31 CFR 1020.220. The CIP constitutes the foundational layer of the institution's KYC framework.</w:t>
      </w:r>
    </w:p>
    <w:p w14:paraId="1D22DA3F" w14:textId="77777777" w:rsidR="0018469C" w:rsidRDefault="00000000">
      <w:pPr>
        <w:spacing w:after="240" w:line="360" w:lineRule="auto"/>
      </w:pPr>
      <w:r>
        <w:rPr>
          <w:rFonts w:ascii="Calibri" w:eastAsia="Calibri" w:hAnsi="Calibri" w:cs="Calibri"/>
          <w:color w:val="000000"/>
          <w:sz w:val="22"/>
          <w:szCs w:val="22"/>
        </w:rPr>
        <w:t>Customer Due Diligence (CDD)</w:t>
      </w:r>
    </w:p>
    <w:p w14:paraId="5D1B6366" w14:textId="77777777" w:rsidR="0018469C" w:rsidRDefault="00000000">
      <w:pPr>
        <w:spacing w:after="240" w:line="360" w:lineRule="auto"/>
      </w:pPr>
      <w:r>
        <w:rPr>
          <w:rFonts w:ascii="Calibri" w:eastAsia="Calibri" w:hAnsi="Calibri" w:cs="Calibri"/>
          <w:color w:val="000000"/>
          <w:sz w:val="22"/>
          <w:szCs w:val="22"/>
        </w:rPr>
        <w:lastRenderedPageBreak/>
        <w:t>Procedures for understanding the nature and purpose of customer relationships, constructing customer risk profiles, and conducting ongoing monitoring of transactions to detect activity inconsistent with established profiles, as required under 31 CFR 1010.230.</w:t>
      </w:r>
    </w:p>
    <w:p w14:paraId="7EC128F3" w14:textId="77777777" w:rsidR="0018469C" w:rsidRDefault="00000000">
      <w:pPr>
        <w:spacing w:after="240" w:line="360" w:lineRule="auto"/>
      </w:pPr>
      <w:r>
        <w:rPr>
          <w:rFonts w:ascii="Calibri" w:eastAsia="Calibri" w:hAnsi="Calibri" w:cs="Calibri"/>
          <w:color w:val="000000"/>
          <w:sz w:val="22"/>
          <w:szCs w:val="22"/>
        </w:rPr>
        <w:t>Enhanced Due Diligence (EDD)</w:t>
      </w:r>
    </w:p>
    <w:p w14:paraId="534CFDDE" w14:textId="77777777" w:rsidR="0018469C" w:rsidRDefault="00000000">
      <w:pPr>
        <w:spacing w:after="240" w:line="360" w:lineRule="auto"/>
      </w:pPr>
      <w:r>
        <w:rPr>
          <w:rFonts w:ascii="Calibri" w:eastAsia="Calibri" w:hAnsi="Calibri" w:cs="Calibri"/>
          <w:color w:val="000000"/>
          <w:sz w:val="22"/>
          <w:szCs w:val="22"/>
        </w:rPr>
        <w:t xml:space="preserve">Additional scrutiny applied to customers, relationships, or transactions assessed to carry elevated risk of money laundering, terrorist financing, fraud, or other financial crimes. EDD measures supplement, but do not </w:t>
      </w:r>
      <w:proofErr w:type="gramStart"/>
      <w:r>
        <w:rPr>
          <w:rFonts w:ascii="Calibri" w:eastAsia="Calibri" w:hAnsi="Calibri" w:cs="Calibri"/>
          <w:color w:val="000000"/>
          <w:sz w:val="22"/>
          <w:szCs w:val="22"/>
        </w:rPr>
        <w:t>replace,</w:t>
      </w:r>
      <w:proofErr w:type="gramEnd"/>
      <w:r>
        <w:rPr>
          <w:rFonts w:ascii="Calibri" w:eastAsia="Calibri" w:hAnsi="Calibri" w:cs="Calibri"/>
          <w:color w:val="000000"/>
          <w:sz w:val="22"/>
          <w:szCs w:val="22"/>
        </w:rPr>
        <w:t xml:space="preserve"> standard CDD requirements.</w:t>
      </w:r>
    </w:p>
    <w:p w14:paraId="4BB416C6" w14:textId="77777777" w:rsidR="0018469C" w:rsidRDefault="00000000">
      <w:pPr>
        <w:spacing w:after="240" w:line="360" w:lineRule="auto"/>
      </w:pPr>
      <w:r>
        <w:rPr>
          <w:rFonts w:ascii="Calibri" w:eastAsia="Calibri" w:hAnsi="Calibri" w:cs="Calibri"/>
          <w:color w:val="000000"/>
          <w:sz w:val="22"/>
          <w:szCs w:val="22"/>
        </w:rPr>
        <w:t>Beneficial Owner</w:t>
      </w:r>
    </w:p>
    <w:p w14:paraId="56DA7DB3" w14:textId="77777777" w:rsidR="0018469C" w:rsidRDefault="00000000">
      <w:pPr>
        <w:spacing w:after="240" w:line="360" w:lineRule="auto"/>
      </w:pPr>
      <w:r>
        <w:rPr>
          <w:rFonts w:ascii="Calibri" w:eastAsia="Calibri" w:hAnsi="Calibri" w:cs="Calibri"/>
          <w:color w:val="000000"/>
          <w:sz w:val="22"/>
          <w:szCs w:val="22"/>
        </w:rPr>
        <w:t>A natural person who directly or indirectly owns twenty-five percent (25%) or more of a legal entity customer, or who exercises significant control over such entity, as defined under the FinCEN Customer Due Diligence Rule (31 CFR 1010.230) and the Corporate Transparency Act beneficial ownership information requirements.</w:t>
      </w:r>
    </w:p>
    <w:p w14:paraId="171518B7" w14:textId="77777777" w:rsidR="0018469C" w:rsidRDefault="00000000">
      <w:pPr>
        <w:spacing w:after="240" w:line="360" w:lineRule="auto"/>
      </w:pPr>
      <w:r>
        <w:rPr>
          <w:rFonts w:ascii="Calibri" w:eastAsia="Calibri" w:hAnsi="Calibri" w:cs="Calibri"/>
          <w:color w:val="000000"/>
          <w:sz w:val="22"/>
          <w:szCs w:val="22"/>
        </w:rPr>
        <w:t>Liveness Detection</w:t>
      </w:r>
    </w:p>
    <w:p w14:paraId="1F61F269" w14:textId="77777777" w:rsidR="0018469C" w:rsidRDefault="00000000">
      <w:pPr>
        <w:spacing w:after="240" w:line="360" w:lineRule="auto"/>
      </w:pPr>
      <w:r>
        <w:rPr>
          <w:rFonts w:ascii="Calibri" w:eastAsia="Calibri" w:hAnsi="Calibri" w:cs="Calibri"/>
          <w:color w:val="000000"/>
          <w:sz w:val="22"/>
          <w:szCs w:val="22"/>
        </w:rPr>
        <w:t>A biometric control technique that confirms a biometric sample — such as a facial image or voice recording — was captured from a live human being present in real time, distinguishing it from a photograph, video replay, deepfake, or AI-generated image or audio. Compliant liveness detection must satisfy Presentation Attack Detection (PAD) standards as set forth in ISO/IEC 30107-3.</w:t>
      </w:r>
    </w:p>
    <w:p w14:paraId="0B9D5607" w14:textId="77777777" w:rsidR="0018469C" w:rsidRDefault="00000000">
      <w:pPr>
        <w:spacing w:after="240" w:line="360" w:lineRule="auto"/>
      </w:pPr>
      <w:r>
        <w:rPr>
          <w:rFonts w:ascii="Calibri" w:eastAsia="Calibri" w:hAnsi="Calibri" w:cs="Calibri"/>
          <w:color w:val="000000"/>
          <w:sz w:val="22"/>
          <w:szCs w:val="22"/>
        </w:rPr>
        <w:t>Injection Attack</w:t>
      </w:r>
    </w:p>
    <w:p w14:paraId="2DFA00A5" w14:textId="77777777" w:rsidR="0018469C" w:rsidRDefault="00000000">
      <w:pPr>
        <w:spacing w:after="240" w:line="360" w:lineRule="auto"/>
      </w:pPr>
      <w:r>
        <w:rPr>
          <w:rFonts w:ascii="Calibri" w:eastAsia="Calibri" w:hAnsi="Calibri" w:cs="Calibri"/>
          <w:color w:val="000000"/>
          <w:sz w:val="22"/>
          <w:szCs w:val="22"/>
        </w:rPr>
        <w:t>A method of digital fraud in which an attacker intercepts or replaces the data feed between a user's device camera, microphone, or sensor and an identity verification application, substituting AI-generated, pre-recorded, or otherwise manipulated media for a live biometric capture, with the intent of defeating liveness detection or other verification controls.</w:t>
      </w:r>
    </w:p>
    <w:p w14:paraId="6AF772F6" w14:textId="77777777" w:rsidR="0018469C" w:rsidRDefault="00000000">
      <w:pPr>
        <w:spacing w:after="240" w:line="360" w:lineRule="auto"/>
      </w:pPr>
      <w:r>
        <w:rPr>
          <w:rFonts w:ascii="Calibri" w:eastAsia="Calibri" w:hAnsi="Calibri" w:cs="Calibri"/>
          <w:color w:val="000000"/>
          <w:sz w:val="22"/>
          <w:szCs w:val="22"/>
        </w:rPr>
        <w:t>Multi-Signal Verification</w:t>
      </w:r>
    </w:p>
    <w:p w14:paraId="320229F9" w14:textId="77777777" w:rsidR="0018469C" w:rsidRDefault="00000000">
      <w:pPr>
        <w:spacing w:after="240" w:line="360" w:lineRule="auto"/>
      </w:pPr>
      <w:r>
        <w:rPr>
          <w:rFonts w:ascii="Calibri" w:eastAsia="Calibri" w:hAnsi="Calibri" w:cs="Calibri"/>
          <w:color w:val="000000"/>
          <w:sz w:val="22"/>
          <w:szCs w:val="22"/>
        </w:rPr>
        <w:t>An identity assurance approach that fuses signals from multiple independent verification channels — including document authentication, biometric liveness, device integrity assessment, behavioral biometrics, and network intelligence — into a composite risk score that governs identity disposition decisions.</w:t>
      </w:r>
    </w:p>
    <w:p w14:paraId="181110CC" w14:textId="77777777" w:rsidR="0018469C" w:rsidRDefault="00000000">
      <w:pPr>
        <w:spacing w:after="240" w:line="360" w:lineRule="auto"/>
      </w:pPr>
      <w:r>
        <w:rPr>
          <w:rFonts w:ascii="Calibri" w:eastAsia="Calibri" w:hAnsi="Calibri" w:cs="Calibri"/>
          <w:color w:val="000000"/>
          <w:sz w:val="22"/>
          <w:szCs w:val="22"/>
        </w:rPr>
        <w:lastRenderedPageBreak/>
        <w:t>Identity Assurance Level (IAL)</w:t>
      </w:r>
    </w:p>
    <w:p w14:paraId="61BE25B1" w14:textId="77777777" w:rsidR="0018469C" w:rsidRDefault="00000000">
      <w:pPr>
        <w:spacing w:after="240" w:line="360" w:lineRule="auto"/>
      </w:pPr>
      <w:r>
        <w:rPr>
          <w:rFonts w:ascii="Calibri" w:eastAsia="Calibri" w:hAnsi="Calibri" w:cs="Calibri"/>
          <w:color w:val="000000"/>
          <w:sz w:val="22"/>
          <w:szCs w:val="22"/>
        </w:rPr>
        <w:t xml:space="preserve">A classification defined in NIST SP 800-63A describing the confidence level with which an identity has been </w:t>
      </w:r>
      <w:proofErr w:type="gramStart"/>
      <w:r>
        <w:rPr>
          <w:rFonts w:ascii="Calibri" w:eastAsia="Calibri" w:hAnsi="Calibri" w:cs="Calibri"/>
          <w:color w:val="000000"/>
          <w:sz w:val="22"/>
          <w:szCs w:val="22"/>
        </w:rPr>
        <w:t>proofed</w:t>
      </w:r>
      <w:proofErr w:type="gramEnd"/>
      <w:r>
        <w:rPr>
          <w:rFonts w:ascii="Calibri" w:eastAsia="Calibri" w:hAnsi="Calibri" w:cs="Calibri"/>
          <w:color w:val="000000"/>
          <w:sz w:val="22"/>
          <w:szCs w:val="22"/>
        </w:rPr>
        <w:t>. IAL1 denotes a self-asserted identity without independent verification. IAL2 denotes remote or in-person identity proofing supported by identity evidence. IAL3 denotes in-person or supervised remote proofing with biometric binding and physical or supervised document inspection.</w:t>
      </w:r>
    </w:p>
    <w:p w14:paraId="56B8F15C" w14:textId="77777777" w:rsidR="0018469C" w:rsidRDefault="00000000">
      <w:pPr>
        <w:spacing w:after="240" w:line="360" w:lineRule="auto"/>
      </w:pPr>
      <w:r>
        <w:rPr>
          <w:rFonts w:ascii="Calibri" w:eastAsia="Calibri" w:hAnsi="Calibri" w:cs="Calibri"/>
          <w:color w:val="000000"/>
          <w:sz w:val="22"/>
          <w:szCs w:val="22"/>
        </w:rPr>
        <w:t>Synthetic Identity</w:t>
      </w:r>
    </w:p>
    <w:p w14:paraId="10102C25" w14:textId="77777777" w:rsidR="0018469C" w:rsidRDefault="00000000">
      <w:pPr>
        <w:spacing w:after="240" w:line="360" w:lineRule="auto"/>
      </w:pPr>
      <w:r>
        <w:rPr>
          <w:rFonts w:ascii="Calibri" w:eastAsia="Calibri" w:hAnsi="Calibri" w:cs="Calibri"/>
          <w:color w:val="000000"/>
          <w:sz w:val="22"/>
          <w:szCs w:val="22"/>
        </w:rPr>
        <w:t>A fabricated identity constructed by combining real personally identifiable information (PII) — such as a valid Social Security Number — with fictitious information such as a false name, fabricated date of birth, or non-existent address. Synthetic identities are specifically designed to defeat single-signal identity verification checks that rely on any one data point in isolation.</w:t>
      </w:r>
    </w:p>
    <w:p w14:paraId="577A3320" w14:textId="77777777" w:rsidR="0018469C" w:rsidRDefault="00000000">
      <w:pPr>
        <w:spacing w:after="240" w:line="360" w:lineRule="auto"/>
      </w:pPr>
      <w:r>
        <w:rPr>
          <w:rFonts w:ascii="Calibri" w:eastAsia="Calibri" w:hAnsi="Calibri" w:cs="Calibri"/>
          <w:color w:val="000000"/>
          <w:sz w:val="22"/>
          <w:szCs w:val="22"/>
        </w:rPr>
        <w:t>Human Presence Attestation</w:t>
      </w:r>
    </w:p>
    <w:p w14:paraId="0608287F" w14:textId="77777777" w:rsidR="0018469C" w:rsidRDefault="00000000">
      <w:pPr>
        <w:spacing w:after="240" w:line="360" w:lineRule="auto"/>
      </w:pPr>
      <w:r>
        <w:rPr>
          <w:rFonts w:ascii="Calibri" w:eastAsia="Calibri" w:hAnsi="Calibri" w:cs="Calibri"/>
          <w:color w:val="000000"/>
          <w:sz w:val="22"/>
          <w:szCs w:val="22"/>
        </w:rPr>
        <w:t>A verifiable declaration, supported by technical evidence derived from liveness detection, behavioral biometrics, device attestation, and session analysis, that a natural person was actively present, in control, and participating in real time during an account opening transaction or other designated sensitive interaction.</w:t>
      </w:r>
    </w:p>
    <w:p w14:paraId="020649C3" w14:textId="77777777" w:rsidR="0018469C" w:rsidRDefault="00000000">
      <w:pPr>
        <w:spacing w:after="240" w:line="360" w:lineRule="auto"/>
      </w:pPr>
      <w:r>
        <w:rPr>
          <w:rFonts w:ascii="Calibri" w:eastAsia="Calibri" w:hAnsi="Calibri" w:cs="Calibri"/>
          <w:color w:val="000000"/>
          <w:sz w:val="22"/>
          <w:szCs w:val="22"/>
        </w:rPr>
        <w:t>Step-Up Authentication</w:t>
      </w:r>
    </w:p>
    <w:p w14:paraId="4648651A" w14:textId="77777777" w:rsidR="0018469C" w:rsidRDefault="00000000">
      <w:pPr>
        <w:spacing w:after="240" w:line="360" w:lineRule="auto"/>
      </w:pPr>
      <w:r>
        <w:rPr>
          <w:rFonts w:ascii="Calibri" w:eastAsia="Calibri" w:hAnsi="Calibri" w:cs="Calibri"/>
          <w:color w:val="000000"/>
          <w:sz w:val="22"/>
          <w:szCs w:val="22"/>
        </w:rPr>
        <w:t>A risk-adaptive authentication mechanism that requires additional identity proofing, credential verification, or out-of-band confirmation when elevated risk signals are detected during a customer session, above and beyond the authentication method initially employed.</w:t>
      </w:r>
    </w:p>
    <w:p w14:paraId="625B772E" w14:textId="77777777" w:rsidR="0018469C" w:rsidRDefault="00000000">
      <w:pPr>
        <w:spacing w:after="240" w:line="360" w:lineRule="auto"/>
      </w:pPr>
      <w:r>
        <w:rPr>
          <w:rFonts w:ascii="Calibri" w:eastAsia="Calibri" w:hAnsi="Calibri" w:cs="Calibri"/>
          <w:color w:val="000000"/>
          <w:sz w:val="22"/>
          <w:szCs w:val="22"/>
        </w:rPr>
        <w:t>Suspicious Activity Report (SAR)</w:t>
      </w:r>
    </w:p>
    <w:p w14:paraId="69F7FD4B" w14:textId="77777777" w:rsidR="0018469C" w:rsidRDefault="00000000">
      <w:pPr>
        <w:spacing w:after="240" w:line="360" w:lineRule="auto"/>
      </w:pPr>
      <w:r>
        <w:rPr>
          <w:rFonts w:ascii="Calibri" w:eastAsia="Calibri" w:hAnsi="Calibri" w:cs="Calibri"/>
          <w:color w:val="000000"/>
          <w:sz w:val="22"/>
          <w:szCs w:val="22"/>
        </w:rPr>
        <w:t>A report filed with the Financial Crimes Enforcement Network (FinCEN) when the institution knows, suspects, or has reason to suspect that a transaction involves funds from illegal activities, is designed to evade BSA reporting or recordkeeping requirements, lacks a lawful purpose, or is otherwise suspicious, as required under 31 U.S.C. § 5318(g) and applicable implementing regulations.</w:t>
      </w:r>
    </w:p>
    <w:p w14:paraId="69BD216D" w14:textId="77777777" w:rsidR="0018469C" w:rsidRDefault="0018469C">
      <w:pPr>
        <w:pBdr>
          <w:bottom w:val="single" w:sz="6" w:space="0" w:color="000000"/>
        </w:pBdr>
        <w:spacing w:before="240" w:after="240"/>
      </w:pPr>
    </w:p>
    <w:p w14:paraId="17B8441E" w14:textId="77777777" w:rsidR="0018469C" w:rsidRDefault="00000000">
      <w:pPr>
        <w:pStyle w:val="Heading2"/>
        <w:spacing w:before="360" w:after="100" w:line="312" w:lineRule="auto"/>
      </w:pPr>
      <w:r>
        <w:rPr>
          <w:rFonts w:ascii="Calibri" w:eastAsia="Calibri" w:hAnsi="Calibri" w:cs="Calibri"/>
          <w:color w:val="1A1A1A"/>
          <w:sz w:val="28"/>
          <w:szCs w:val="28"/>
        </w:rPr>
        <w:t>4.0   Identity Proofing Requirements</w:t>
      </w:r>
    </w:p>
    <w:p w14:paraId="1319ED7F" w14:textId="77777777" w:rsidR="0018469C" w:rsidRDefault="0018469C">
      <w:pPr>
        <w:pBdr>
          <w:top w:val="single" w:sz="6" w:space="0" w:color="2B5797"/>
        </w:pBdr>
        <w:spacing w:after="200"/>
      </w:pPr>
    </w:p>
    <w:p w14:paraId="64B8D642" w14:textId="77777777" w:rsidR="0018469C" w:rsidRDefault="00000000">
      <w:pPr>
        <w:pStyle w:val="Heading3"/>
        <w:spacing w:before="240" w:after="80" w:line="312" w:lineRule="auto"/>
      </w:pPr>
      <w:r>
        <w:rPr>
          <w:rFonts w:ascii="Calibri" w:eastAsia="Calibri" w:hAnsi="Calibri" w:cs="Calibri"/>
          <w:color w:val="1A1A1A"/>
          <w:sz w:val="24"/>
          <w:szCs w:val="24"/>
        </w:rPr>
        <w:lastRenderedPageBreak/>
        <w:t>4.1   Minimum CIP Data Collection</w:t>
      </w:r>
    </w:p>
    <w:p w14:paraId="220099DD" w14:textId="77777777" w:rsidR="0018469C" w:rsidRDefault="00000000">
      <w:pPr>
        <w:spacing w:before="60" w:after="120" w:line="360" w:lineRule="auto"/>
      </w:pPr>
      <w:r>
        <w:rPr>
          <w:rFonts w:ascii="Calibri" w:eastAsia="Calibri" w:hAnsi="Calibri" w:cs="Calibri"/>
          <w:color w:val="000000"/>
          <w:sz w:val="22"/>
          <w:szCs w:val="22"/>
        </w:rPr>
        <w:t>The institution must collect, at minimum, the following identifying information from all applicants prior to account opening, in accordance with 31 CFR 1020.220:</w:t>
      </w:r>
    </w:p>
    <w:p w14:paraId="0C1B7EBE" w14:textId="77777777" w:rsidR="0018469C" w:rsidRDefault="00000000">
      <w:pPr>
        <w:spacing w:before="60" w:after="120" w:line="360" w:lineRule="auto"/>
      </w:pPr>
      <w:r>
        <w:rPr>
          <w:rFonts w:ascii="Calibri" w:eastAsia="Calibri" w:hAnsi="Calibri" w:cs="Calibri"/>
          <w:b/>
          <w:bCs/>
          <w:color w:val="000000"/>
          <w:sz w:val="22"/>
          <w:szCs w:val="22"/>
        </w:rPr>
        <w:t>For individual (personal) account applicants:</w:t>
      </w:r>
    </w:p>
    <w:p w14:paraId="15D9EF21"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Legal full name (as it appears on government-issued identification);</w:t>
      </w:r>
    </w:p>
    <w:p w14:paraId="64B78FFD"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Date of birth;</w:t>
      </w:r>
    </w:p>
    <w:p w14:paraId="711BD64B"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Residential street address (P.O. Box addresses are not sufficient as a sole address);</w:t>
      </w:r>
    </w:p>
    <w:p w14:paraId="53F8DEFA"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Taxpayer Identification Number (Social Security Number for U.S. persons; Individual Taxpayer Identification Number or passport number for non-U.S. persons).</w:t>
      </w:r>
    </w:p>
    <w:p w14:paraId="0D8EEDAC" w14:textId="77777777" w:rsidR="0018469C" w:rsidRDefault="00000000">
      <w:pPr>
        <w:spacing w:before="60" w:after="120" w:line="360" w:lineRule="auto"/>
      </w:pPr>
      <w:r>
        <w:rPr>
          <w:rFonts w:ascii="Calibri" w:eastAsia="Calibri" w:hAnsi="Calibri" w:cs="Calibri"/>
          <w:b/>
          <w:bCs/>
          <w:color w:val="000000"/>
          <w:sz w:val="22"/>
          <w:szCs w:val="22"/>
        </w:rPr>
        <w:t>For legal entity (business) account applicants, in addition to the foregoing for authorized signatories:</w:t>
      </w:r>
    </w:p>
    <w:p w14:paraId="3F409296"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Legal entity name (as registered with the applicable state or federal authority);</w:t>
      </w:r>
    </w:p>
    <w:p w14:paraId="2B4459B0"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Employer Identification Number (EIN);</w:t>
      </w:r>
    </w:p>
    <w:p w14:paraId="78317C91"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Principal place of business address;</w:t>
      </w:r>
    </w:p>
    <w:p w14:paraId="1D84B96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Jurisdiction of formation or organization;</w:t>
      </w:r>
    </w:p>
    <w:p w14:paraId="07C90EC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Beneficial ownership information for all natural persons meeting the twenty-five percent (25%) ownership threshold or the significant control criterion, consistent with the FinCEN CDD Rule (31 CFR 1010.230) and the Corporate Transparency Act.</w:t>
      </w:r>
    </w:p>
    <w:p w14:paraId="47483C16" w14:textId="77777777" w:rsidR="0018469C" w:rsidRDefault="00000000">
      <w:pPr>
        <w:pStyle w:val="Heading3"/>
        <w:spacing w:before="240" w:after="80" w:line="312" w:lineRule="auto"/>
      </w:pPr>
      <w:r>
        <w:rPr>
          <w:rFonts w:ascii="Calibri" w:eastAsia="Calibri" w:hAnsi="Calibri" w:cs="Calibri"/>
          <w:color w:val="1A1A1A"/>
          <w:sz w:val="24"/>
          <w:szCs w:val="24"/>
        </w:rPr>
        <w:t>4.2   Identity Evidence Standards</w:t>
      </w:r>
    </w:p>
    <w:p w14:paraId="3935EB63" w14:textId="77777777" w:rsidR="0018469C" w:rsidRDefault="00000000">
      <w:pPr>
        <w:spacing w:before="60" w:after="120" w:line="360" w:lineRule="auto"/>
      </w:pPr>
      <w:r>
        <w:rPr>
          <w:rFonts w:ascii="Calibri" w:eastAsia="Calibri" w:hAnsi="Calibri" w:cs="Calibri"/>
          <w:color w:val="000000"/>
          <w:sz w:val="22"/>
          <w:szCs w:val="22"/>
        </w:rPr>
        <w:t>The institution shall apply the following evidence standards for identity verification in the online/remote channel:</w:t>
      </w:r>
    </w:p>
    <w:p w14:paraId="6494152C"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All remote applicants must provide a government-issued photo identification document — including a valid U.S. passport, state-issued driver's license, or state-issued identification card — meeting or exceeding the NIST IAL2 identity evidence standard as defined in NIST SP 800-63A.</w:t>
      </w:r>
    </w:p>
    <w:p w14:paraId="1FFD1B8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Document authentication must, where technically available, include chip/NFC reading or issuer-database validation (e.g., AAMVA driver's license database lookups). Photographed document images alone are insufficient as the sole verification method for accounts classified as Tier 2 or Tier 3 under Section 4.4.</w:t>
      </w:r>
    </w:p>
    <w:p w14:paraId="4C156B52"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lastRenderedPageBreak/>
        <w:t>For business accounts with expected monthly transaction volumes above thresholds established by the BSA/AML Officer, certified formation documents (e.g., Articles of Incorporation, Operating Agreement, Certificate of Good Standing) and ownership attestations signed under penalty of perjury are required.</w:t>
      </w:r>
    </w:p>
    <w:p w14:paraId="6CC316DB"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institution shall maintain a Document Acceptance Matrix, updated at minimum annually by the Compliance Operations Team and approved by the CCO, specifying acceptable document types, issuing jurisdictions, and technical validation requirements for each account tier.</w:t>
      </w:r>
    </w:p>
    <w:p w14:paraId="1350C93F" w14:textId="77777777" w:rsidR="0018469C" w:rsidRDefault="00000000">
      <w:pPr>
        <w:pStyle w:val="Heading3"/>
        <w:spacing w:before="240" w:after="80" w:line="312" w:lineRule="auto"/>
      </w:pPr>
      <w:r>
        <w:rPr>
          <w:rFonts w:ascii="Calibri" w:eastAsia="Calibri" w:hAnsi="Calibri" w:cs="Calibri"/>
          <w:color w:val="1A1A1A"/>
          <w:sz w:val="24"/>
          <w:szCs w:val="24"/>
        </w:rPr>
        <w:t>4.3   Biometric Verification</w:t>
      </w:r>
    </w:p>
    <w:p w14:paraId="1D4528C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Facial biometric comparison against the government-issued photo identification document is required for all remote account openings, regardless of account tier.</w:t>
      </w:r>
    </w:p>
    <w:p w14:paraId="0139A77F"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Liveness detection controls must meet or exceed the standards set forth in </w:t>
      </w:r>
      <w:r>
        <w:rPr>
          <w:rFonts w:ascii="Calibri" w:eastAsia="Calibri" w:hAnsi="Calibri" w:cs="Calibri"/>
          <w:b/>
          <w:bCs/>
          <w:color w:val="000000"/>
          <w:sz w:val="22"/>
          <w:szCs w:val="22"/>
        </w:rPr>
        <w:t>ISO/IEC 30107-3 Level 2</w:t>
      </w:r>
      <w:r>
        <w:rPr>
          <w:rFonts w:ascii="Calibri" w:eastAsia="Calibri" w:hAnsi="Calibri" w:cs="Calibri"/>
          <w:color w:val="000000"/>
          <w:sz w:val="22"/>
          <w:szCs w:val="22"/>
        </w:rPr>
        <w:t xml:space="preserve"> for Presentation Attack Detection (PAD). In addition, all biometric verification workflows must incorporate </w:t>
      </w:r>
      <w:r>
        <w:rPr>
          <w:rFonts w:ascii="Calibri" w:eastAsia="Calibri" w:hAnsi="Calibri" w:cs="Calibri"/>
          <w:b/>
          <w:bCs/>
          <w:color w:val="000000"/>
          <w:sz w:val="22"/>
          <w:szCs w:val="22"/>
        </w:rPr>
        <w:t>Injection Attack Detection (IAD)</w:t>
      </w:r>
      <w:r>
        <w:rPr>
          <w:rFonts w:ascii="Calibri" w:eastAsia="Calibri" w:hAnsi="Calibri" w:cs="Calibri"/>
          <w:color w:val="000000"/>
          <w:sz w:val="22"/>
          <w:szCs w:val="22"/>
        </w:rPr>
        <w:t xml:space="preserve"> controls that monitor the camera and microphone data pathways for signs of media interception or substitution.</w:t>
      </w:r>
    </w:p>
    <w:p w14:paraId="1BDB60C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Biometric verification vendors must demonstrate and document ongoing red-team testing against current generative AI attack vectors — including, without limitation, diffusion model-generated face imagery, neural radiance field (</w:t>
      </w:r>
      <w:proofErr w:type="spellStart"/>
      <w:r>
        <w:rPr>
          <w:rFonts w:ascii="Calibri" w:eastAsia="Calibri" w:hAnsi="Calibri" w:cs="Calibri"/>
          <w:color w:val="000000"/>
          <w:sz w:val="22"/>
          <w:szCs w:val="22"/>
        </w:rPr>
        <w:t>NeRF</w:t>
      </w:r>
      <w:proofErr w:type="spellEnd"/>
      <w:r>
        <w:rPr>
          <w:rFonts w:ascii="Calibri" w:eastAsia="Calibri" w:hAnsi="Calibri" w:cs="Calibri"/>
          <w:color w:val="000000"/>
          <w:sz w:val="22"/>
          <w:szCs w:val="22"/>
        </w:rPr>
        <w:t>) attacks, voice-cloning, and 3D mask attacks — and provide written attestation of testing results to the institution no less frequently than annually.</w:t>
      </w:r>
    </w:p>
    <w:p w14:paraId="4A1C30CC"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institution's CISO shall review biometric vendor attestations and confirm that detection capabilities remain current relative to the prevailing threat landscape.</w:t>
      </w:r>
    </w:p>
    <w:p w14:paraId="3688CF2D" w14:textId="77777777" w:rsidR="0018469C" w:rsidRDefault="00000000">
      <w:pPr>
        <w:pStyle w:val="Heading3"/>
        <w:spacing w:before="240" w:after="80" w:line="312" w:lineRule="auto"/>
      </w:pPr>
      <w:r>
        <w:rPr>
          <w:rFonts w:ascii="Calibri" w:eastAsia="Calibri" w:hAnsi="Calibri" w:cs="Calibri"/>
          <w:color w:val="1A1A1A"/>
          <w:sz w:val="24"/>
          <w:szCs w:val="24"/>
        </w:rPr>
        <w:t>4.4   Identity Assurance Tiers</w:t>
      </w:r>
    </w:p>
    <w:p w14:paraId="3980B10A" w14:textId="77777777" w:rsidR="0018469C" w:rsidRDefault="00000000">
      <w:pPr>
        <w:spacing w:before="60" w:after="120" w:line="360" w:lineRule="auto"/>
      </w:pPr>
      <w:r>
        <w:rPr>
          <w:rFonts w:ascii="Calibri" w:eastAsia="Calibri" w:hAnsi="Calibri" w:cs="Calibri"/>
          <w:color w:val="000000"/>
          <w:sz w:val="22"/>
          <w:szCs w:val="22"/>
        </w:rPr>
        <w:t>The institution applies a risk-based, three-tier identity assurance framework. Tier assignment is determined by the account type, expected activity profile, and any risk indicators present at application.</w:t>
      </w:r>
    </w:p>
    <w:p w14:paraId="19148F3F" w14:textId="77777777" w:rsidR="0018469C" w:rsidRDefault="0018469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102"/>
        <w:gridCol w:w="3045"/>
        <w:gridCol w:w="1128"/>
        <w:gridCol w:w="4075"/>
      </w:tblGrid>
      <w:tr w:rsidR="0018469C" w14:paraId="7323EA06" w14:textId="77777777">
        <w:trPr>
          <w:tblHeader/>
        </w:trPr>
        <w:tc>
          <w:tcPr>
            <w:tcW w:w="550" w:type="pct"/>
            <w:shd w:val="clear" w:color="auto" w:fill="DCE6F5"/>
            <w:tcMar>
              <w:top w:w="90" w:type="dxa"/>
              <w:left w:w="135" w:type="dxa"/>
              <w:bottom w:w="90" w:type="dxa"/>
              <w:right w:w="135" w:type="dxa"/>
            </w:tcMar>
          </w:tcPr>
          <w:p w14:paraId="44C829B8" w14:textId="77777777" w:rsidR="0018469C" w:rsidRDefault="00000000">
            <w:r>
              <w:rPr>
                <w:rFonts w:ascii="Calibri" w:eastAsia="Calibri" w:hAnsi="Calibri" w:cs="Calibri"/>
                <w:b/>
                <w:bCs/>
                <w:color w:val="000000"/>
                <w:sz w:val="20"/>
                <w:szCs w:val="20"/>
              </w:rPr>
              <w:lastRenderedPageBreak/>
              <w:t>Tier</w:t>
            </w:r>
          </w:p>
        </w:tc>
        <w:tc>
          <w:tcPr>
            <w:tcW w:w="1700" w:type="pct"/>
            <w:shd w:val="clear" w:color="auto" w:fill="DCE6F5"/>
            <w:tcMar>
              <w:top w:w="90" w:type="dxa"/>
              <w:left w:w="135" w:type="dxa"/>
              <w:bottom w:w="90" w:type="dxa"/>
              <w:right w:w="135" w:type="dxa"/>
            </w:tcMar>
          </w:tcPr>
          <w:p w14:paraId="4DF55CC6" w14:textId="77777777" w:rsidR="0018469C" w:rsidRDefault="00000000">
            <w:r>
              <w:rPr>
                <w:rFonts w:ascii="Calibri" w:eastAsia="Calibri" w:hAnsi="Calibri" w:cs="Calibri"/>
                <w:b/>
                <w:bCs/>
                <w:color w:val="000000"/>
                <w:sz w:val="20"/>
                <w:szCs w:val="20"/>
              </w:rPr>
              <w:t>Account Profile</w:t>
            </w:r>
          </w:p>
        </w:tc>
        <w:tc>
          <w:tcPr>
            <w:tcW w:w="500" w:type="pct"/>
            <w:shd w:val="clear" w:color="auto" w:fill="DCE6F5"/>
            <w:tcMar>
              <w:top w:w="90" w:type="dxa"/>
              <w:left w:w="135" w:type="dxa"/>
              <w:bottom w:w="90" w:type="dxa"/>
              <w:right w:w="135" w:type="dxa"/>
            </w:tcMar>
          </w:tcPr>
          <w:p w14:paraId="58F4E51B" w14:textId="77777777" w:rsidR="0018469C" w:rsidRDefault="00000000">
            <w:r>
              <w:rPr>
                <w:rFonts w:ascii="Calibri" w:eastAsia="Calibri" w:hAnsi="Calibri" w:cs="Calibri"/>
                <w:b/>
                <w:bCs/>
                <w:color w:val="000000"/>
                <w:sz w:val="20"/>
                <w:szCs w:val="20"/>
              </w:rPr>
              <w:t>Assurance Level</w:t>
            </w:r>
          </w:p>
        </w:tc>
        <w:tc>
          <w:tcPr>
            <w:tcW w:w="2250" w:type="pct"/>
            <w:shd w:val="clear" w:color="auto" w:fill="DCE6F5"/>
            <w:tcMar>
              <w:top w:w="90" w:type="dxa"/>
              <w:left w:w="135" w:type="dxa"/>
              <w:bottom w:w="90" w:type="dxa"/>
              <w:right w:w="135" w:type="dxa"/>
            </w:tcMar>
          </w:tcPr>
          <w:p w14:paraId="46061A18" w14:textId="77777777" w:rsidR="0018469C" w:rsidRDefault="00000000">
            <w:r>
              <w:rPr>
                <w:rFonts w:ascii="Calibri" w:eastAsia="Calibri" w:hAnsi="Calibri" w:cs="Calibri"/>
                <w:b/>
                <w:bCs/>
                <w:color w:val="000000"/>
                <w:sz w:val="20"/>
                <w:szCs w:val="20"/>
              </w:rPr>
              <w:t>Verification Requirements</w:t>
            </w:r>
          </w:p>
        </w:tc>
      </w:tr>
      <w:tr w:rsidR="0018469C" w14:paraId="22170145" w14:textId="77777777">
        <w:tc>
          <w:tcPr>
            <w:tcW w:w="550" w:type="pct"/>
            <w:tcMar>
              <w:top w:w="90" w:type="dxa"/>
              <w:left w:w="135" w:type="dxa"/>
              <w:bottom w:w="90" w:type="dxa"/>
              <w:right w:w="135" w:type="dxa"/>
            </w:tcMar>
          </w:tcPr>
          <w:p w14:paraId="43D5EA2E" w14:textId="77777777" w:rsidR="0018469C" w:rsidRDefault="00000000">
            <w:r>
              <w:rPr>
                <w:rFonts w:ascii="Calibri" w:eastAsia="Calibri" w:hAnsi="Calibri" w:cs="Calibri"/>
                <w:b/>
                <w:bCs/>
                <w:color w:val="000000"/>
                <w:sz w:val="22"/>
                <w:szCs w:val="22"/>
              </w:rPr>
              <w:t>Tier 1</w:t>
            </w:r>
            <w:r>
              <w:rPr>
                <w:rFonts w:ascii="Calibri" w:eastAsia="Calibri" w:hAnsi="Calibri" w:cs="Calibri"/>
                <w:color w:val="000000"/>
                <w:sz w:val="20"/>
                <w:szCs w:val="20"/>
              </w:rPr>
              <w:t xml:space="preserve"> Standard</w:t>
            </w:r>
          </w:p>
        </w:tc>
        <w:tc>
          <w:tcPr>
            <w:tcW w:w="1700" w:type="pct"/>
            <w:tcMar>
              <w:top w:w="90" w:type="dxa"/>
              <w:left w:w="135" w:type="dxa"/>
              <w:bottom w:w="90" w:type="dxa"/>
              <w:right w:w="135" w:type="dxa"/>
            </w:tcMar>
          </w:tcPr>
          <w:p w14:paraId="0085C640" w14:textId="77777777" w:rsidR="0018469C" w:rsidRDefault="00000000">
            <w:r>
              <w:rPr>
                <w:rFonts w:ascii="Calibri" w:eastAsia="Calibri" w:hAnsi="Calibri" w:cs="Calibri"/>
                <w:color w:val="000000"/>
                <w:sz w:val="20"/>
                <w:szCs w:val="20"/>
              </w:rPr>
              <w:t>Personal accounts with low expected transaction volume and no elevated-risk indicators</w:t>
            </w:r>
          </w:p>
        </w:tc>
        <w:tc>
          <w:tcPr>
            <w:tcW w:w="500" w:type="pct"/>
            <w:tcMar>
              <w:top w:w="90" w:type="dxa"/>
              <w:left w:w="135" w:type="dxa"/>
              <w:bottom w:w="90" w:type="dxa"/>
              <w:right w:w="135" w:type="dxa"/>
            </w:tcMar>
          </w:tcPr>
          <w:p w14:paraId="27132911" w14:textId="77777777" w:rsidR="0018469C" w:rsidRDefault="00000000">
            <w:r>
              <w:rPr>
                <w:rFonts w:ascii="Calibri" w:eastAsia="Calibri" w:hAnsi="Calibri" w:cs="Calibri"/>
                <w:color w:val="000000"/>
                <w:sz w:val="20"/>
                <w:szCs w:val="20"/>
              </w:rPr>
              <w:t>IAL2</w:t>
            </w:r>
          </w:p>
        </w:tc>
        <w:tc>
          <w:tcPr>
            <w:tcW w:w="2250" w:type="pct"/>
            <w:tcMar>
              <w:top w:w="90" w:type="dxa"/>
              <w:left w:w="135" w:type="dxa"/>
              <w:bottom w:w="90" w:type="dxa"/>
              <w:right w:w="135" w:type="dxa"/>
            </w:tcMar>
          </w:tcPr>
          <w:p w14:paraId="251B4446" w14:textId="77777777" w:rsidR="0018469C" w:rsidRDefault="00000000">
            <w:r>
              <w:rPr>
                <w:rFonts w:ascii="Calibri" w:eastAsia="Calibri" w:hAnsi="Calibri" w:cs="Calibri"/>
                <w:color w:val="000000"/>
                <w:sz w:val="20"/>
                <w:szCs w:val="20"/>
              </w:rPr>
              <w:t>Government-issued photo ID authentication; facial biometric with liveness detection (ISO/IEC 30107-3 Level 2); multi-signal composite risk score within Low or Medium band</w:t>
            </w:r>
          </w:p>
        </w:tc>
      </w:tr>
      <w:tr w:rsidR="0018469C" w14:paraId="0E66F6EF" w14:textId="77777777">
        <w:tc>
          <w:tcPr>
            <w:tcW w:w="550" w:type="pct"/>
            <w:tcMar>
              <w:top w:w="90" w:type="dxa"/>
              <w:left w:w="135" w:type="dxa"/>
              <w:bottom w:w="90" w:type="dxa"/>
              <w:right w:w="135" w:type="dxa"/>
            </w:tcMar>
          </w:tcPr>
          <w:p w14:paraId="67986900" w14:textId="77777777" w:rsidR="0018469C" w:rsidRDefault="00000000">
            <w:r>
              <w:rPr>
                <w:rFonts w:ascii="Calibri" w:eastAsia="Calibri" w:hAnsi="Calibri" w:cs="Calibri"/>
                <w:b/>
                <w:bCs/>
                <w:color w:val="000000"/>
                <w:sz w:val="22"/>
                <w:szCs w:val="22"/>
              </w:rPr>
              <w:t>Tier 2</w:t>
            </w:r>
            <w:r>
              <w:rPr>
                <w:rFonts w:ascii="Calibri" w:eastAsia="Calibri" w:hAnsi="Calibri" w:cs="Calibri"/>
                <w:color w:val="000000"/>
                <w:sz w:val="20"/>
                <w:szCs w:val="20"/>
              </w:rPr>
              <w:t xml:space="preserve"> Enhanced</w:t>
            </w:r>
          </w:p>
        </w:tc>
        <w:tc>
          <w:tcPr>
            <w:tcW w:w="1700" w:type="pct"/>
            <w:tcMar>
              <w:top w:w="90" w:type="dxa"/>
              <w:left w:w="135" w:type="dxa"/>
              <w:bottom w:w="90" w:type="dxa"/>
              <w:right w:w="135" w:type="dxa"/>
            </w:tcMar>
          </w:tcPr>
          <w:p w14:paraId="5D011EA5" w14:textId="77777777" w:rsidR="0018469C" w:rsidRDefault="00000000">
            <w:r>
              <w:rPr>
                <w:rFonts w:ascii="Calibri" w:eastAsia="Calibri" w:hAnsi="Calibri" w:cs="Calibri"/>
                <w:color w:val="000000"/>
                <w:sz w:val="20"/>
                <w:szCs w:val="20"/>
              </w:rPr>
              <w:t>Business accounts; high-value accounts above defined thresholds; accounts with Politically Exposed Person (PEP), high-risk geography, or elevated-risk industry indicators</w:t>
            </w:r>
          </w:p>
        </w:tc>
        <w:tc>
          <w:tcPr>
            <w:tcW w:w="500" w:type="pct"/>
            <w:tcMar>
              <w:top w:w="90" w:type="dxa"/>
              <w:left w:w="135" w:type="dxa"/>
              <w:bottom w:w="90" w:type="dxa"/>
              <w:right w:w="135" w:type="dxa"/>
            </w:tcMar>
          </w:tcPr>
          <w:p w14:paraId="0F0188D8" w14:textId="77777777" w:rsidR="0018469C" w:rsidRDefault="00000000">
            <w:r>
              <w:rPr>
                <w:rFonts w:ascii="Calibri" w:eastAsia="Calibri" w:hAnsi="Calibri" w:cs="Calibri"/>
                <w:color w:val="000000"/>
                <w:sz w:val="20"/>
                <w:szCs w:val="20"/>
              </w:rPr>
              <w:t>IAL2+</w:t>
            </w:r>
          </w:p>
        </w:tc>
        <w:tc>
          <w:tcPr>
            <w:tcW w:w="2250" w:type="pct"/>
            <w:tcMar>
              <w:top w:w="90" w:type="dxa"/>
              <w:left w:w="135" w:type="dxa"/>
              <w:bottom w:w="90" w:type="dxa"/>
              <w:right w:w="135" w:type="dxa"/>
            </w:tcMar>
          </w:tcPr>
          <w:p w14:paraId="48EB8555" w14:textId="77777777" w:rsidR="0018469C" w:rsidRDefault="00000000">
            <w:r>
              <w:rPr>
                <w:rFonts w:ascii="Calibri" w:eastAsia="Calibri" w:hAnsi="Calibri" w:cs="Calibri"/>
                <w:color w:val="000000"/>
                <w:sz w:val="20"/>
                <w:szCs w:val="20"/>
              </w:rPr>
              <w:t>All Tier 1 requirements plus: chip/NFC or issuer-database document validation; Enhanced Due Diligence (EDD); beneficial ownership certification; adverse media screening; CRO/CCO notification for PEP accounts</w:t>
            </w:r>
          </w:p>
        </w:tc>
      </w:tr>
      <w:tr w:rsidR="0018469C" w14:paraId="64F2A85B" w14:textId="77777777">
        <w:tc>
          <w:tcPr>
            <w:tcW w:w="550" w:type="pct"/>
            <w:tcMar>
              <w:top w:w="90" w:type="dxa"/>
              <w:left w:w="135" w:type="dxa"/>
              <w:bottom w:w="90" w:type="dxa"/>
              <w:right w:w="135" w:type="dxa"/>
            </w:tcMar>
          </w:tcPr>
          <w:p w14:paraId="1F1BD544" w14:textId="77777777" w:rsidR="0018469C" w:rsidRDefault="00000000">
            <w:r>
              <w:rPr>
                <w:rFonts w:ascii="Calibri" w:eastAsia="Calibri" w:hAnsi="Calibri" w:cs="Calibri"/>
                <w:b/>
                <w:bCs/>
                <w:color w:val="000000"/>
                <w:sz w:val="22"/>
                <w:szCs w:val="22"/>
              </w:rPr>
              <w:t>Tier 3</w:t>
            </w:r>
            <w:r>
              <w:rPr>
                <w:rFonts w:ascii="Calibri" w:eastAsia="Calibri" w:hAnsi="Calibri" w:cs="Calibri"/>
                <w:color w:val="000000"/>
                <w:sz w:val="20"/>
                <w:szCs w:val="20"/>
              </w:rPr>
              <w:t xml:space="preserve"> High Assurance</w:t>
            </w:r>
          </w:p>
        </w:tc>
        <w:tc>
          <w:tcPr>
            <w:tcW w:w="1700" w:type="pct"/>
            <w:tcMar>
              <w:top w:w="90" w:type="dxa"/>
              <w:left w:w="135" w:type="dxa"/>
              <w:bottom w:w="90" w:type="dxa"/>
              <w:right w:w="135" w:type="dxa"/>
            </w:tcMar>
          </w:tcPr>
          <w:p w14:paraId="09D14C27" w14:textId="77777777" w:rsidR="0018469C" w:rsidRDefault="00000000">
            <w:r>
              <w:rPr>
                <w:rFonts w:ascii="Calibri" w:eastAsia="Calibri" w:hAnsi="Calibri" w:cs="Calibri"/>
                <w:color w:val="000000"/>
                <w:sz w:val="20"/>
                <w:szCs w:val="20"/>
              </w:rPr>
              <w:t>Very high-risk accounts; accounts triggering AI-impersonation indicators; accounts flagged for synthetic identity patterns; court-ordered monitoring accounts</w:t>
            </w:r>
          </w:p>
        </w:tc>
        <w:tc>
          <w:tcPr>
            <w:tcW w:w="500" w:type="pct"/>
            <w:tcMar>
              <w:top w:w="90" w:type="dxa"/>
              <w:left w:w="135" w:type="dxa"/>
              <w:bottom w:w="90" w:type="dxa"/>
              <w:right w:w="135" w:type="dxa"/>
            </w:tcMar>
          </w:tcPr>
          <w:p w14:paraId="3D631B5B" w14:textId="77777777" w:rsidR="0018469C" w:rsidRDefault="00000000">
            <w:r>
              <w:rPr>
                <w:rFonts w:ascii="Calibri" w:eastAsia="Calibri" w:hAnsi="Calibri" w:cs="Calibri"/>
                <w:color w:val="000000"/>
                <w:sz w:val="20"/>
                <w:szCs w:val="20"/>
              </w:rPr>
              <w:t>IAL3 Equivalent</w:t>
            </w:r>
          </w:p>
        </w:tc>
        <w:tc>
          <w:tcPr>
            <w:tcW w:w="2250" w:type="pct"/>
            <w:tcMar>
              <w:top w:w="90" w:type="dxa"/>
              <w:left w:w="135" w:type="dxa"/>
              <w:bottom w:w="90" w:type="dxa"/>
              <w:right w:w="135" w:type="dxa"/>
            </w:tcMar>
          </w:tcPr>
          <w:p w14:paraId="1E1D4BD3" w14:textId="77777777" w:rsidR="0018469C" w:rsidRDefault="00000000">
            <w:r>
              <w:rPr>
                <w:rFonts w:ascii="Calibri" w:eastAsia="Calibri" w:hAnsi="Calibri" w:cs="Calibri"/>
                <w:color w:val="000000"/>
                <w:sz w:val="20"/>
                <w:szCs w:val="20"/>
              </w:rPr>
              <w:t>All Tier 2 requirements plus: video-supervised identity proofing session; real-time human reviewer; additional corroborating evidence from at least two independent authoritative sources; supervisory approval required for account activation</w:t>
            </w:r>
          </w:p>
        </w:tc>
      </w:tr>
    </w:tbl>
    <w:p w14:paraId="4C318892" w14:textId="77777777" w:rsidR="0018469C" w:rsidRDefault="0018469C">
      <w:pPr>
        <w:spacing w:after="200"/>
      </w:pPr>
    </w:p>
    <w:p w14:paraId="235116E4" w14:textId="77777777" w:rsidR="0018469C" w:rsidRDefault="00000000">
      <w:pPr>
        <w:spacing w:before="60" w:after="120" w:line="360" w:lineRule="auto"/>
      </w:pPr>
      <w:r>
        <w:rPr>
          <w:rFonts w:ascii="Calibri" w:eastAsia="Calibri" w:hAnsi="Calibri" w:cs="Calibri"/>
          <w:color w:val="000000"/>
          <w:sz w:val="22"/>
          <w:szCs w:val="22"/>
        </w:rPr>
        <w:t>Tier assignment may be escalated at any point during or after account opening based on newly identified risk signals. Tier de-escalation requires documented approval from the CCO and must be logged in the customer risk profile.</w:t>
      </w:r>
    </w:p>
    <w:p w14:paraId="78E7F819" w14:textId="77777777" w:rsidR="0018469C" w:rsidRDefault="0018469C">
      <w:pPr>
        <w:pBdr>
          <w:bottom w:val="single" w:sz="6" w:space="0" w:color="000000"/>
        </w:pBdr>
        <w:spacing w:before="240" w:after="240"/>
      </w:pPr>
    </w:p>
    <w:p w14:paraId="7625DE06" w14:textId="77777777" w:rsidR="0018469C" w:rsidRDefault="00000000">
      <w:pPr>
        <w:pStyle w:val="Heading2"/>
        <w:spacing w:before="360" w:after="100" w:line="312" w:lineRule="auto"/>
      </w:pPr>
      <w:r>
        <w:rPr>
          <w:rFonts w:ascii="Calibri" w:eastAsia="Calibri" w:hAnsi="Calibri" w:cs="Calibri"/>
          <w:color w:val="1A1A1A"/>
          <w:sz w:val="28"/>
          <w:szCs w:val="28"/>
        </w:rPr>
        <w:t>5.0   Multi-Signal Verification</w:t>
      </w:r>
    </w:p>
    <w:p w14:paraId="25C391A1" w14:textId="77777777" w:rsidR="0018469C" w:rsidRDefault="0018469C">
      <w:pPr>
        <w:pBdr>
          <w:top w:val="single" w:sz="6" w:space="0" w:color="2B5797"/>
        </w:pBdr>
        <w:spacing w:after="200"/>
      </w:pPr>
    </w:p>
    <w:p w14:paraId="5AB6944B" w14:textId="77777777" w:rsidR="0018469C" w:rsidRDefault="00000000">
      <w:pPr>
        <w:pStyle w:val="Heading3"/>
        <w:spacing w:before="240" w:after="80" w:line="312" w:lineRule="auto"/>
      </w:pPr>
      <w:r>
        <w:rPr>
          <w:rFonts w:ascii="Calibri" w:eastAsia="Calibri" w:hAnsi="Calibri" w:cs="Calibri"/>
          <w:color w:val="1A1A1A"/>
          <w:sz w:val="24"/>
          <w:szCs w:val="24"/>
        </w:rPr>
        <w:t>5.1   Signal Architecture</w:t>
      </w:r>
    </w:p>
    <w:p w14:paraId="2963F40A" w14:textId="77777777" w:rsidR="0018469C" w:rsidRDefault="00000000">
      <w:pPr>
        <w:spacing w:before="60" w:after="120" w:line="360" w:lineRule="auto"/>
      </w:pPr>
      <w:r>
        <w:rPr>
          <w:rFonts w:ascii="Calibri" w:eastAsia="Calibri" w:hAnsi="Calibri" w:cs="Calibri"/>
          <w:color w:val="000000"/>
          <w:sz w:val="22"/>
          <w:szCs w:val="22"/>
        </w:rPr>
        <w:t>Identity risk decisions must be based on a fused composite risk score derived from a minimum of five (5) independent signal classes. No identity disposition decision may rely on fewer than five signal classes. The required signal classes are as follows:</w:t>
      </w:r>
    </w:p>
    <w:p w14:paraId="7A95E198" w14:textId="77777777" w:rsidR="0018469C" w:rsidRDefault="00000000">
      <w:pPr>
        <w:pStyle w:val="ListParagraph"/>
        <w:numPr>
          <w:ilvl w:val="0"/>
          <w:numId w:val="2"/>
        </w:numPr>
        <w:spacing w:after="60" w:line="408" w:lineRule="auto"/>
      </w:pPr>
      <w:r>
        <w:rPr>
          <w:rFonts w:ascii="Calibri" w:eastAsia="Calibri" w:hAnsi="Calibri" w:cs="Calibri"/>
          <w:b/>
          <w:bCs/>
          <w:color w:val="000000"/>
          <w:sz w:val="22"/>
          <w:szCs w:val="22"/>
        </w:rPr>
        <w:t>Document Authenticity:</w:t>
      </w:r>
      <w:r>
        <w:rPr>
          <w:rFonts w:ascii="Calibri" w:eastAsia="Calibri" w:hAnsi="Calibri" w:cs="Calibri"/>
          <w:color w:val="000000"/>
          <w:sz w:val="22"/>
          <w:szCs w:val="22"/>
        </w:rPr>
        <w:t xml:space="preserve"> Validation of government-issued identity documents through chip/NFC reading, issuer-database validation (e.g., AAMVA), or cryptographic document verification where available; assessment of document tamper indicators, font consistency, microprint, and security feature integrity.</w:t>
      </w:r>
    </w:p>
    <w:p w14:paraId="62FC8CBC" w14:textId="77777777" w:rsidR="0018469C" w:rsidRDefault="00000000">
      <w:pPr>
        <w:pStyle w:val="ListParagraph"/>
        <w:numPr>
          <w:ilvl w:val="0"/>
          <w:numId w:val="2"/>
        </w:numPr>
        <w:spacing w:after="60" w:line="408" w:lineRule="auto"/>
      </w:pPr>
      <w:r>
        <w:rPr>
          <w:rFonts w:ascii="Calibri" w:eastAsia="Calibri" w:hAnsi="Calibri" w:cs="Calibri"/>
          <w:b/>
          <w:bCs/>
          <w:color w:val="000000"/>
          <w:sz w:val="22"/>
          <w:szCs w:val="22"/>
        </w:rPr>
        <w:lastRenderedPageBreak/>
        <w:t>Biometric Liveness and Face-Match Score:</w:t>
      </w:r>
      <w:r>
        <w:rPr>
          <w:rFonts w:ascii="Calibri" w:eastAsia="Calibri" w:hAnsi="Calibri" w:cs="Calibri"/>
          <w:color w:val="000000"/>
          <w:sz w:val="22"/>
          <w:szCs w:val="22"/>
        </w:rPr>
        <w:t xml:space="preserve"> Biometric comparison of the applicant's live facial capture against the document photo, with liveness detection score meeting the ISO/IEC 30107-3 Level 2 threshold and injection attack detection controls active throughout the session.</w:t>
      </w:r>
    </w:p>
    <w:p w14:paraId="0DB006B4" w14:textId="77777777" w:rsidR="0018469C" w:rsidRDefault="00000000">
      <w:pPr>
        <w:pStyle w:val="ListParagraph"/>
        <w:numPr>
          <w:ilvl w:val="0"/>
          <w:numId w:val="2"/>
        </w:numPr>
        <w:spacing w:after="60" w:line="408" w:lineRule="auto"/>
      </w:pPr>
      <w:r>
        <w:rPr>
          <w:rFonts w:ascii="Calibri" w:eastAsia="Calibri" w:hAnsi="Calibri" w:cs="Calibri"/>
          <w:b/>
          <w:bCs/>
          <w:color w:val="000000"/>
          <w:sz w:val="22"/>
          <w:szCs w:val="22"/>
        </w:rPr>
        <w:t>Device Integrity:</w:t>
      </w:r>
      <w:r>
        <w:rPr>
          <w:rFonts w:ascii="Calibri" w:eastAsia="Calibri" w:hAnsi="Calibri" w:cs="Calibri"/>
          <w:color w:val="000000"/>
          <w:sz w:val="22"/>
          <w:szCs w:val="22"/>
        </w:rPr>
        <w:t xml:space="preserve"> Platform-level device attestation confirming that the interaction originates from a genuine, unmodified consumer device; detection of jailbreak or root modifications; emulator detection; virtual or synthetic camera detection; and application integrity verification.</w:t>
      </w:r>
    </w:p>
    <w:p w14:paraId="34FDEB47" w14:textId="77777777" w:rsidR="0018469C" w:rsidRDefault="00000000">
      <w:pPr>
        <w:pStyle w:val="ListParagraph"/>
        <w:numPr>
          <w:ilvl w:val="0"/>
          <w:numId w:val="2"/>
        </w:numPr>
        <w:spacing w:after="60" w:line="408" w:lineRule="auto"/>
      </w:pPr>
      <w:r>
        <w:rPr>
          <w:rFonts w:ascii="Calibri" w:eastAsia="Calibri" w:hAnsi="Calibri" w:cs="Calibri"/>
          <w:b/>
          <w:bCs/>
          <w:color w:val="000000"/>
          <w:sz w:val="22"/>
          <w:szCs w:val="22"/>
        </w:rPr>
        <w:t>Network and Geolocation Intelligence:</w:t>
      </w:r>
      <w:r>
        <w:rPr>
          <w:rFonts w:ascii="Calibri" w:eastAsia="Calibri" w:hAnsi="Calibri" w:cs="Calibri"/>
          <w:color w:val="000000"/>
          <w:sz w:val="22"/>
          <w:szCs w:val="22"/>
        </w:rPr>
        <w:t xml:space="preserve"> IP address reputation scoring; detection of VPN, proxy, anonymizing network (e.g., Tor), and data center exit node usage; geolocation consistency analysis comparing declared address, device location signals, and IP-derived location; velocity analysis across sessions.</w:t>
      </w:r>
    </w:p>
    <w:p w14:paraId="0C37CC00" w14:textId="77777777" w:rsidR="0018469C" w:rsidRDefault="00000000">
      <w:pPr>
        <w:pStyle w:val="ListParagraph"/>
        <w:numPr>
          <w:ilvl w:val="0"/>
          <w:numId w:val="2"/>
        </w:numPr>
        <w:spacing w:after="60" w:line="408" w:lineRule="auto"/>
      </w:pPr>
      <w:r>
        <w:rPr>
          <w:rFonts w:ascii="Calibri" w:eastAsia="Calibri" w:hAnsi="Calibri" w:cs="Calibri"/>
          <w:b/>
          <w:bCs/>
          <w:color w:val="000000"/>
          <w:sz w:val="22"/>
          <w:szCs w:val="22"/>
        </w:rPr>
        <w:t>Behavioral Biometrics:</w:t>
      </w:r>
      <w:r>
        <w:rPr>
          <w:rFonts w:ascii="Calibri" w:eastAsia="Calibri" w:hAnsi="Calibri" w:cs="Calibri"/>
          <w:color w:val="000000"/>
          <w:sz w:val="22"/>
          <w:szCs w:val="22"/>
        </w:rPr>
        <w:t xml:space="preserve"> Continuous analysis of session interaction patterns — including typing cadence and rhythm, mouse dynamics and movement trajectories, touch pressure and gesture patterns, scroll behavior, navigation patterns, and field interaction sequencing — that distinguish organic human interaction from scripted or automated behavior.</w:t>
      </w:r>
    </w:p>
    <w:p w14:paraId="5399E13C" w14:textId="77777777" w:rsidR="0018469C" w:rsidRDefault="00000000">
      <w:pPr>
        <w:pStyle w:val="Heading3"/>
        <w:spacing w:before="240" w:after="80" w:line="312" w:lineRule="auto"/>
      </w:pPr>
      <w:r>
        <w:rPr>
          <w:rFonts w:ascii="Calibri" w:eastAsia="Calibri" w:hAnsi="Calibri" w:cs="Calibri"/>
          <w:color w:val="1A1A1A"/>
          <w:sz w:val="24"/>
          <w:szCs w:val="24"/>
        </w:rPr>
        <w:t>5.2   Risk Scoring and Thresholds</w:t>
      </w:r>
    </w:p>
    <w:p w14:paraId="51628E57" w14:textId="77777777" w:rsidR="0018469C" w:rsidRDefault="00000000">
      <w:pPr>
        <w:spacing w:before="60" w:after="120" w:line="360" w:lineRule="auto"/>
      </w:pPr>
      <w:r>
        <w:rPr>
          <w:rFonts w:ascii="Calibri" w:eastAsia="Calibri" w:hAnsi="Calibri" w:cs="Calibri"/>
          <w:color w:val="000000"/>
          <w:sz w:val="22"/>
          <w:szCs w:val="22"/>
        </w:rPr>
        <w:t>The composite risk score derived from the five required signal classes shall be mapped to the following risk bands, with the corresponding required workflow actions:</w:t>
      </w:r>
    </w:p>
    <w:p w14:paraId="4CFB8DC0" w14:textId="77777777" w:rsidR="0018469C" w:rsidRDefault="0018469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043"/>
        <w:gridCol w:w="2096"/>
        <w:gridCol w:w="6211"/>
      </w:tblGrid>
      <w:tr w:rsidR="0018469C" w14:paraId="43034FC5" w14:textId="77777777">
        <w:trPr>
          <w:tblHeader/>
        </w:trPr>
        <w:tc>
          <w:tcPr>
            <w:tcW w:w="500" w:type="pct"/>
            <w:shd w:val="clear" w:color="auto" w:fill="E8EEF7"/>
            <w:tcMar>
              <w:top w:w="90" w:type="dxa"/>
              <w:left w:w="135" w:type="dxa"/>
              <w:bottom w:w="90" w:type="dxa"/>
              <w:right w:w="135" w:type="dxa"/>
            </w:tcMar>
          </w:tcPr>
          <w:p w14:paraId="6979D909" w14:textId="77777777" w:rsidR="0018469C" w:rsidRDefault="00000000">
            <w:r>
              <w:rPr>
                <w:rFonts w:ascii="Calibri" w:eastAsia="Calibri" w:hAnsi="Calibri" w:cs="Calibri"/>
                <w:b/>
                <w:bCs/>
                <w:color w:val="000000"/>
                <w:sz w:val="20"/>
                <w:szCs w:val="20"/>
              </w:rPr>
              <w:t>Risk Band</w:t>
            </w:r>
          </w:p>
        </w:tc>
        <w:tc>
          <w:tcPr>
            <w:tcW w:w="1150" w:type="pct"/>
            <w:shd w:val="clear" w:color="auto" w:fill="E8EEF7"/>
            <w:tcMar>
              <w:top w:w="90" w:type="dxa"/>
              <w:left w:w="135" w:type="dxa"/>
              <w:bottom w:w="90" w:type="dxa"/>
              <w:right w:w="135" w:type="dxa"/>
            </w:tcMar>
          </w:tcPr>
          <w:p w14:paraId="028829C1" w14:textId="77777777" w:rsidR="0018469C" w:rsidRDefault="00000000">
            <w:r>
              <w:rPr>
                <w:rFonts w:ascii="Calibri" w:eastAsia="Calibri" w:hAnsi="Calibri" w:cs="Calibri"/>
                <w:b/>
                <w:bCs/>
                <w:color w:val="000000"/>
                <w:sz w:val="20"/>
                <w:szCs w:val="20"/>
              </w:rPr>
              <w:t>Score Range</w:t>
            </w:r>
          </w:p>
        </w:tc>
        <w:tc>
          <w:tcPr>
            <w:tcW w:w="3350" w:type="pct"/>
            <w:shd w:val="clear" w:color="auto" w:fill="E8EEF7"/>
            <w:tcMar>
              <w:top w:w="90" w:type="dxa"/>
              <w:left w:w="135" w:type="dxa"/>
              <w:bottom w:w="90" w:type="dxa"/>
              <w:right w:w="135" w:type="dxa"/>
            </w:tcMar>
          </w:tcPr>
          <w:p w14:paraId="3CB691C7" w14:textId="77777777" w:rsidR="0018469C" w:rsidRDefault="00000000">
            <w:r>
              <w:rPr>
                <w:rFonts w:ascii="Calibri" w:eastAsia="Calibri" w:hAnsi="Calibri" w:cs="Calibri"/>
                <w:b/>
                <w:bCs/>
                <w:color w:val="000000"/>
                <w:sz w:val="20"/>
                <w:szCs w:val="20"/>
              </w:rPr>
              <w:t>Required Workflow Action</w:t>
            </w:r>
          </w:p>
        </w:tc>
      </w:tr>
      <w:tr w:rsidR="0018469C" w14:paraId="4C2AA673" w14:textId="77777777">
        <w:tc>
          <w:tcPr>
            <w:tcW w:w="500" w:type="pct"/>
            <w:tcMar>
              <w:top w:w="90" w:type="dxa"/>
              <w:left w:w="135" w:type="dxa"/>
              <w:bottom w:w="90" w:type="dxa"/>
              <w:right w:w="135" w:type="dxa"/>
            </w:tcMar>
          </w:tcPr>
          <w:p w14:paraId="71180630" w14:textId="77777777" w:rsidR="0018469C" w:rsidRDefault="00000000">
            <w:r>
              <w:rPr>
                <w:rFonts w:ascii="Calibri" w:eastAsia="Calibri" w:hAnsi="Calibri" w:cs="Calibri"/>
                <w:b/>
                <w:bCs/>
                <w:color w:val="000000"/>
                <w:sz w:val="22"/>
                <w:szCs w:val="22"/>
              </w:rPr>
              <w:t>Low</w:t>
            </w:r>
          </w:p>
        </w:tc>
        <w:tc>
          <w:tcPr>
            <w:tcW w:w="1150" w:type="pct"/>
            <w:tcMar>
              <w:top w:w="90" w:type="dxa"/>
              <w:left w:w="135" w:type="dxa"/>
              <w:bottom w:w="90" w:type="dxa"/>
              <w:right w:w="135" w:type="dxa"/>
            </w:tcMar>
          </w:tcPr>
          <w:p w14:paraId="41B26689" w14:textId="77777777" w:rsidR="0018469C" w:rsidRDefault="00000000">
            <w:r>
              <w:rPr>
                <w:rFonts w:ascii="Calibri" w:eastAsia="Calibri" w:hAnsi="Calibri" w:cs="Calibri"/>
                <w:color w:val="000000"/>
                <w:sz w:val="20"/>
                <w:szCs w:val="20"/>
              </w:rPr>
              <w:t>0–39 (institution-defined thresholds)</w:t>
            </w:r>
          </w:p>
        </w:tc>
        <w:tc>
          <w:tcPr>
            <w:tcW w:w="3350" w:type="pct"/>
            <w:tcMar>
              <w:top w:w="90" w:type="dxa"/>
              <w:left w:w="135" w:type="dxa"/>
              <w:bottom w:w="90" w:type="dxa"/>
              <w:right w:w="135" w:type="dxa"/>
            </w:tcMar>
          </w:tcPr>
          <w:p w14:paraId="74145C6D" w14:textId="77777777" w:rsidR="0018469C" w:rsidRDefault="00000000">
            <w:r>
              <w:rPr>
                <w:rFonts w:ascii="Calibri" w:eastAsia="Calibri" w:hAnsi="Calibri" w:cs="Calibri"/>
                <w:color w:val="000000"/>
                <w:sz w:val="20"/>
                <w:szCs w:val="20"/>
              </w:rPr>
              <w:t>Standard automated processing; proceed to account activation upon completion of all CIP/CDD requirements</w:t>
            </w:r>
          </w:p>
        </w:tc>
      </w:tr>
      <w:tr w:rsidR="0018469C" w14:paraId="6E9B90C8" w14:textId="77777777">
        <w:tc>
          <w:tcPr>
            <w:tcW w:w="500" w:type="pct"/>
            <w:tcMar>
              <w:top w:w="90" w:type="dxa"/>
              <w:left w:w="135" w:type="dxa"/>
              <w:bottom w:w="90" w:type="dxa"/>
              <w:right w:w="135" w:type="dxa"/>
            </w:tcMar>
          </w:tcPr>
          <w:p w14:paraId="1B407680" w14:textId="77777777" w:rsidR="0018469C" w:rsidRDefault="00000000">
            <w:r>
              <w:rPr>
                <w:rFonts w:ascii="Calibri" w:eastAsia="Calibri" w:hAnsi="Calibri" w:cs="Calibri"/>
                <w:b/>
                <w:bCs/>
                <w:color w:val="000000"/>
                <w:sz w:val="22"/>
                <w:szCs w:val="22"/>
              </w:rPr>
              <w:t>Medium</w:t>
            </w:r>
          </w:p>
        </w:tc>
        <w:tc>
          <w:tcPr>
            <w:tcW w:w="1150" w:type="pct"/>
            <w:tcMar>
              <w:top w:w="90" w:type="dxa"/>
              <w:left w:w="135" w:type="dxa"/>
              <w:bottom w:w="90" w:type="dxa"/>
              <w:right w:w="135" w:type="dxa"/>
            </w:tcMar>
          </w:tcPr>
          <w:p w14:paraId="130ED57C" w14:textId="77777777" w:rsidR="0018469C" w:rsidRDefault="00000000">
            <w:r>
              <w:rPr>
                <w:rFonts w:ascii="Calibri" w:eastAsia="Calibri" w:hAnsi="Calibri" w:cs="Calibri"/>
                <w:color w:val="000000"/>
                <w:sz w:val="20"/>
                <w:szCs w:val="20"/>
              </w:rPr>
              <w:t>40–64</w:t>
            </w:r>
          </w:p>
        </w:tc>
        <w:tc>
          <w:tcPr>
            <w:tcW w:w="3350" w:type="pct"/>
            <w:tcMar>
              <w:top w:w="90" w:type="dxa"/>
              <w:left w:w="135" w:type="dxa"/>
              <w:bottom w:w="90" w:type="dxa"/>
              <w:right w:w="135" w:type="dxa"/>
            </w:tcMar>
          </w:tcPr>
          <w:p w14:paraId="3B20A660" w14:textId="77777777" w:rsidR="0018469C" w:rsidRDefault="00000000">
            <w:r>
              <w:rPr>
                <w:rFonts w:ascii="Calibri" w:eastAsia="Calibri" w:hAnsi="Calibri" w:cs="Calibri"/>
                <w:color w:val="000000"/>
                <w:sz w:val="20"/>
                <w:szCs w:val="20"/>
              </w:rPr>
              <w:t>Step-up authentication required; applicant must complete one or more additional verification challenges before proceeding</w:t>
            </w:r>
          </w:p>
        </w:tc>
      </w:tr>
      <w:tr w:rsidR="0018469C" w14:paraId="63AABE07" w14:textId="77777777">
        <w:tc>
          <w:tcPr>
            <w:tcW w:w="500" w:type="pct"/>
            <w:tcMar>
              <w:top w:w="90" w:type="dxa"/>
              <w:left w:w="135" w:type="dxa"/>
              <w:bottom w:w="90" w:type="dxa"/>
              <w:right w:w="135" w:type="dxa"/>
            </w:tcMar>
          </w:tcPr>
          <w:p w14:paraId="610E35AD" w14:textId="77777777" w:rsidR="0018469C" w:rsidRDefault="00000000">
            <w:r>
              <w:rPr>
                <w:rFonts w:ascii="Calibri" w:eastAsia="Calibri" w:hAnsi="Calibri" w:cs="Calibri"/>
                <w:b/>
                <w:bCs/>
                <w:color w:val="000000"/>
                <w:sz w:val="22"/>
                <w:szCs w:val="22"/>
              </w:rPr>
              <w:t>High</w:t>
            </w:r>
          </w:p>
        </w:tc>
        <w:tc>
          <w:tcPr>
            <w:tcW w:w="1150" w:type="pct"/>
            <w:tcMar>
              <w:top w:w="90" w:type="dxa"/>
              <w:left w:w="135" w:type="dxa"/>
              <w:bottom w:w="90" w:type="dxa"/>
              <w:right w:w="135" w:type="dxa"/>
            </w:tcMar>
          </w:tcPr>
          <w:p w14:paraId="792E12C6" w14:textId="77777777" w:rsidR="0018469C" w:rsidRDefault="00000000">
            <w:r>
              <w:rPr>
                <w:rFonts w:ascii="Calibri" w:eastAsia="Calibri" w:hAnsi="Calibri" w:cs="Calibri"/>
                <w:color w:val="000000"/>
                <w:sz w:val="20"/>
                <w:szCs w:val="20"/>
              </w:rPr>
              <w:t>65–84</w:t>
            </w:r>
          </w:p>
        </w:tc>
        <w:tc>
          <w:tcPr>
            <w:tcW w:w="3350" w:type="pct"/>
            <w:tcMar>
              <w:top w:w="90" w:type="dxa"/>
              <w:left w:w="135" w:type="dxa"/>
              <w:bottom w:w="90" w:type="dxa"/>
              <w:right w:w="135" w:type="dxa"/>
            </w:tcMar>
          </w:tcPr>
          <w:p w14:paraId="77932977" w14:textId="77777777" w:rsidR="0018469C" w:rsidRDefault="00000000">
            <w:r>
              <w:rPr>
                <w:rFonts w:ascii="Calibri" w:eastAsia="Calibri" w:hAnsi="Calibri" w:cs="Calibri"/>
                <w:color w:val="000000"/>
                <w:sz w:val="20"/>
                <w:szCs w:val="20"/>
              </w:rPr>
              <w:t>Route to human review queue; applicant must provide additional documentary corroboration; account activation held pending reviewer disposition</w:t>
            </w:r>
          </w:p>
        </w:tc>
      </w:tr>
      <w:tr w:rsidR="0018469C" w14:paraId="5E8DDE3B" w14:textId="77777777">
        <w:tc>
          <w:tcPr>
            <w:tcW w:w="500" w:type="pct"/>
            <w:tcMar>
              <w:top w:w="90" w:type="dxa"/>
              <w:left w:w="135" w:type="dxa"/>
              <w:bottom w:w="90" w:type="dxa"/>
              <w:right w:w="135" w:type="dxa"/>
            </w:tcMar>
          </w:tcPr>
          <w:p w14:paraId="2848FFDD" w14:textId="77777777" w:rsidR="0018469C" w:rsidRDefault="00000000">
            <w:r>
              <w:rPr>
                <w:rFonts w:ascii="Calibri" w:eastAsia="Calibri" w:hAnsi="Calibri" w:cs="Calibri"/>
                <w:b/>
                <w:bCs/>
                <w:color w:val="000000"/>
                <w:sz w:val="22"/>
                <w:szCs w:val="22"/>
              </w:rPr>
              <w:t>Reject</w:t>
            </w:r>
          </w:p>
        </w:tc>
        <w:tc>
          <w:tcPr>
            <w:tcW w:w="1150" w:type="pct"/>
            <w:tcMar>
              <w:top w:w="90" w:type="dxa"/>
              <w:left w:w="135" w:type="dxa"/>
              <w:bottom w:w="90" w:type="dxa"/>
              <w:right w:w="135" w:type="dxa"/>
            </w:tcMar>
          </w:tcPr>
          <w:p w14:paraId="138C9BA7" w14:textId="77777777" w:rsidR="0018469C" w:rsidRDefault="00000000">
            <w:r>
              <w:rPr>
                <w:rFonts w:ascii="Calibri" w:eastAsia="Calibri" w:hAnsi="Calibri" w:cs="Calibri"/>
                <w:color w:val="000000"/>
                <w:sz w:val="20"/>
                <w:szCs w:val="20"/>
              </w:rPr>
              <w:t>85–100</w:t>
            </w:r>
          </w:p>
        </w:tc>
        <w:tc>
          <w:tcPr>
            <w:tcW w:w="3350" w:type="pct"/>
            <w:tcMar>
              <w:top w:w="90" w:type="dxa"/>
              <w:left w:w="135" w:type="dxa"/>
              <w:bottom w:w="90" w:type="dxa"/>
              <w:right w:w="135" w:type="dxa"/>
            </w:tcMar>
          </w:tcPr>
          <w:p w14:paraId="143C0B65" w14:textId="77777777" w:rsidR="0018469C" w:rsidRDefault="00000000">
            <w:r>
              <w:rPr>
                <w:rFonts w:ascii="Calibri" w:eastAsia="Calibri" w:hAnsi="Calibri" w:cs="Calibri"/>
                <w:color w:val="000000"/>
                <w:sz w:val="20"/>
                <w:szCs w:val="20"/>
              </w:rPr>
              <w:t>Application declined; session and application data preserved for SAR evaluation; SAR filed if applicable legal thresholds are met</w:t>
            </w:r>
          </w:p>
        </w:tc>
      </w:tr>
    </w:tbl>
    <w:p w14:paraId="039374A6" w14:textId="77777777" w:rsidR="0018469C" w:rsidRDefault="0018469C">
      <w:pPr>
        <w:spacing w:after="200"/>
      </w:pPr>
    </w:p>
    <w:p w14:paraId="4AEEB768" w14:textId="77777777" w:rsidR="0018469C" w:rsidRDefault="0018469C">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8469C" w14:paraId="15C5817F" w14:textId="77777777">
        <w:tc>
          <w:tcPr>
            <w:tcW w:w="0" w:type="auto"/>
            <w:tcBorders>
              <w:top w:val="single" w:sz="6" w:space="0" w:color="2B5797"/>
              <w:left w:val="single" w:sz="6" w:space="0" w:color="2B5797"/>
              <w:bottom w:val="single" w:sz="6" w:space="0" w:color="2B5797"/>
              <w:right w:val="single" w:sz="6" w:space="0" w:color="2B5797"/>
            </w:tcBorders>
            <w:shd w:val="clear" w:color="auto" w:fill="FCE8E8"/>
            <w:tcMar>
              <w:top w:w="150" w:type="dxa"/>
              <w:left w:w="210" w:type="dxa"/>
              <w:bottom w:w="150" w:type="dxa"/>
              <w:right w:w="210" w:type="dxa"/>
            </w:tcMar>
          </w:tcPr>
          <w:p w14:paraId="42FEE5FA" w14:textId="77777777" w:rsidR="0018469C" w:rsidRDefault="00000000">
            <w:pPr>
              <w:spacing w:after="60" w:line="360" w:lineRule="auto"/>
            </w:pPr>
            <w:r>
              <w:rPr>
                <w:rFonts w:ascii="Calibri" w:eastAsia="Calibri" w:hAnsi="Calibri" w:cs="Calibri"/>
                <w:b/>
                <w:bCs/>
                <w:color w:val="2B5797"/>
                <w:sz w:val="22"/>
                <w:szCs w:val="22"/>
              </w:rPr>
              <w:lastRenderedPageBreak/>
              <w:t>Prohibited Practice</w:t>
            </w:r>
          </w:p>
          <w:p w14:paraId="47C96F74" w14:textId="77777777" w:rsidR="0018469C" w:rsidRDefault="00000000">
            <w:pPr>
              <w:spacing w:line="360" w:lineRule="auto"/>
            </w:pPr>
            <w:r>
              <w:rPr>
                <w:rFonts w:ascii="Calibri" w:eastAsia="Calibri" w:hAnsi="Calibri" w:cs="Calibri"/>
                <w:color w:val="000000"/>
                <w:sz w:val="22"/>
                <w:szCs w:val="22"/>
              </w:rPr>
              <w:t>Binary pass/fail gates are expressly prohibited as the sole decision mechanism for identity disposition. All identity decisions must reflect the composite multi-signal risk score. Any vendor or internal system that outputs only a binary pass/fail result, without an underlying risk score or confidence interval, does not satisfy this policy requirement.</w:t>
            </w:r>
          </w:p>
        </w:tc>
      </w:tr>
    </w:tbl>
    <w:p w14:paraId="55059C22" w14:textId="77777777" w:rsidR="0018469C" w:rsidRDefault="0018469C">
      <w:pPr>
        <w:spacing w:after="240"/>
      </w:pPr>
    </w:p>
    <w:p w14:paraId="5343AAA1" w14:textId="77777777" w:rsidR="0018469C" w:rsidRDefault="00000000">
      <w:pPr>
        <w:pStyle w:val="Heading3"/>
        <w:spacing w:before="240" w:after="80" w:line="312" w:lineRule="auto"/>
      </w:pPr>
      <w:r>
        <w:rPr>
          <w:rFonts w:ascii="Calibri" w:eastAsia="Calibri" w:hAnsi="Calibri" w:cs="Calibri"/>
          <w:color w:val="1A1A1A"/>
          <w:sz w:val="24"/>
          <w:szCs w:val="24"/>
        </w:rPr>
        <w:t>5.3   Signal Conflict Resolution</w:t>
      </w:r>
    </w:p>
    <w:p w14:paraId="65F5BA01" w14:textId="77777777" w:rsidR="0018469C" w:rsidRDefault="00000000">
      <w:pPr>
        <w:spacing w:before="60" w:after="120" w:line="360" w:lineRule="auto"/>
      </w:pPr>
      <w:r>
        <w:rPr>
          <w:rFonts w:ascii="Calibri" w:eastAsia="Calibri" w:hAnsi="Calibri" w:cs="Calibri"/>
          <w:color w:val="000000"/>
          <w:sz w:val="22"/>
          <w:szCs w:val="22"/>
        </w:rPr>
        <w:t>When signal classes produce conflicting results — for example, where the document authenticity and biometric signals pass at acceptable confidence levels but device integrity or behavioral biometric signals are anomalous — the following conflict resolution protocol governs:</w:t>
      </w:r>
    </w:p>
    <w:p w14:paraId="1EED9833"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most restrictive applicable risk tier governs the disposition decision. The presence of one or more high-risk signals is not offset by the presence of other low-risk signals.</w:t>
      </w:r>
    </w:p>
    <w:p w14:paraId="1BF49C38"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conflict, including the specific signals involved and the risk scores assigned by each, must be documented in the applicant's electronic record and included in the immutable evidence package required under Section 9.1.</w:t>
      </w:r>
    </w:p>
    <w:p w14:paraId="1219D2F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Signal conflicts involving AI-impersonation indicators as defined in Section 7.0 automatically trigger escalation to Tier 3 review requirements, regardless of the scores on other signals.</w:t>
      </w:r>
    </w:p>
    <w:p w14:paraId="03BEC6D7" w14:textId="77777777" w:rsidR="0018469C" w:rsidRDefault="00000000">
      <w:pPr>
        <w:pStyle w:val="Heading3"/>
        <w:spacing w:before="240" w:after="80" w:line="312" w:lineRule="auto"/>
      </w:pPr>
      <w:r>
        <w:rPr>
          <w:rFonts w:ascii="Calibri" w:eastAsia="Calibri" w:hAnsi="Calibri" w:cs="Calibri"/>
          <w:color w:val="1A1A1A"/>
          <w:sz w:val="24"/>
          <w:szCs w:val="24"/>
        </w:rPr>
        <w:t>5.4   Synthetic Identity Correlation</w:t>
      </w:r>
    </w:p>
    <w:p w14:paraId="48DEE4AC" w14:textId="77777777" w:rsidR="0018469C" w:rsidRDefault="00000000">
      <w:pPr>
        <w:spacing w:before="60" w:after="120" w:line="360" w:lineRule="auto"/>
      </w:pPr>
      <w:r>
        <w:rPr>
          <w:rFonts w:ascii="Calibri" w:eastAsia="Calibri" w:hAnsi="Calibri" w:cs="Calibri"/>
          <w:color w:val="000000"/>
          <w:sz w:val="22"/>
          <w:szCs w:val="22"/>
        </w:rPr>
        <w:t>The institution shall cross-reference all new identity submissions against the following data sources to detect potential synthetic identity patterns:</w:t>
      </w:r>
    </w:p>
    <w:p w14:paraId="29F767AA"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Internal customer records and prior application history across all channels and accounts;</w:t>
      </w:r>
    </w:p>
    <w:p w14:paraId="13509BAF"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FinCEN-authorized and industry-recognized shared fraud intelligence networks (e.g., </w:t>
      </w:r>
      <w:proofErr w:type="spellStart"/>
      <w:r>
        <w:rPr>
          <w:rFonts w:ascii="Calibri" w:eastAsia="Calibri" w:hAnsi="Calibri" w:cs="Calibri"/>
          <w:color w:val="000000"/>
          <w:sz w:val="22"/>
          <w:szCs w:val="22"/>
        </w:rPr>
        <w:t>FraudShare</w:t>
      </w:r>
      <w:proofErr w:type="spellEnd"/>
      <w:r>
        <w:rPr>
          <w:rFonts w:ascii="Calibri" w:eastAsia="Calibri" w:hAnsi="Calibri" w:cs="Calibri"/>
          <w:color w:val="000000"/>
          <w:sz w:val="22"/>
          <w:szCs w:val="22"/>
        </w:rPr>
        <w:t>, Early Warning Services);</w:t>
      </w:r>
    </w:p>
    <w:p w14:paraId="16714186"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Credit bureau identity flags, thin-file indicators, and authorized-user history patterns associated with known synthetic identity schemes;</w:t>
      </w:r>
    </w:p>
    <w:p w14:paraId="11EB66F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Known synthetic identity heuristic patterns, including but not limited to: SSNs issued after the stated date of birth; addresses with no associated utility or credit history; names with no prior </w:t>
      </w:r>
      <w:r>
        <w:rPr>
          <w:rFonts w:ascii="Calibri" w:eastAsia="Calibri" w:hAnsi="Calibri" w:cs="Calibri"/>
          <w:color w:val="000000"/>
          <w:sz w:val="22"/>
          <w:szCs w:val="22"/>
        </w:rPr>
        <w:lastRenderedPageBreak/>
        <w:t>financial system footprint; and identity element combinations consistent with known synthetic identity typologies published by FinCEN or industry bodies.</w:t>
      </w:r>
    </w:p>
    <w:p w14:paraId="0ED97E1A" w14:textId="77777777" w:rsidR="0018469C" w:rsidRDefault="0018469C">
      <w:pPr>
        <w:pBdr>
          <w:bottom w:val="single" w:sz="6" w:space="0" w:color="000000"/>
        </w:pBdr>
        <w:spacing w:before="240" w:after="240"/>
      </w:pPr>
    </w:p>
    <w:p w14:paraId="48C76EA8" w14:textId="77777777" w:rsidR="0018469C" w:rsidRDefault="00000000">
      <w:pPr>
        <w:pStyle w:val="Heading2"/>
        <w:spacing w:before="360" w:after="100" w:line="312" w:lineRule="auto"/>
      </w:pPr>
      <w:r>
        <w:rPr>
          <w:rFonts w:ascii="Calibri" w:eastAsia="Calibri" w:hAnsi="Calibri" w:cs="Calibri"/>
          <w:color w:val="1A1A1A"/>
          <w:sz w:val="28"/>
          <w:szCs w:val="28"/>
        </w:rPr>
        <w:t>6.0   Continuous Monitoring</w:t>
      </w:r>
    </w:p>
    <w:p w14:paraId="25ECFA40" w14:textId="77777777" w:rsidR="0018469C" w:rsidRDefault="0018469C">
      <w:pPr>
        <w:pBdr>
          <w:top w:val="single" w:sz="6" w:space="0" w:color="2B5797"/>
        </w:pBdr>
        <w:spacing w:after="200"/>
      </w:pPr>
    </w:p>
    <w:p w14:paraId="0F492D37" w14:textId="77777777" w:rsidR="0018469C" w:rsidRDefault="00000000">
      <w:pPr>
        <w:pStyle w:val="Heading3"/>
        <w:spacing w:before="240" w:after="80" w:line="312" w:lineRule="auto"/>
      </w:pPr>
      <w:r>
        <w:rPr>
          <w:rFonts w:ascii="Calibri" w:eastAsia="Calibri" w:hAnsi="Calibri" w:cs="Calibri"/>
          <w:color w:val="1A1A1A"/>
          <w:sz w:val="24"/>
          <w:szCs w:val="24"/>
        </w:rPr>
        <w:t>6.1   Transaction Monitoring</w:t>
      </w:r>
    </w:p>
    <w:p w14:paraId="055840CB" w14:textId="77777777" w:rsidR="0018469C" w:rsidRDefault="00000000">
      <w:pPr>
        <w:spacing w:before="60" w:after="120" w:line="360" w:lineRule="auto"/>
      </w:pPr>
      <w:r>
        <w:rPr>
          <w:rFonts w:ascii="Calibri" w:eastAsia="Calibri" w:hAnsi="Calibri" w:cs="Calibri"/>
          <w:color w:val="000000"/>
          <w:sz w:val="22"/>
          <w:szCs w:val="22"/>
        </w:rPr>
        <w:t>The institution shall maintain real-time and batch transaction monitoring systems aligned with the FinCEN AML/CFT National Priorities published pursuant to 31 U.S.C. § 5318(h)(4) and the supervisory expectations set forth in the FFIEC BSA/AML Examination Manual. Transaction monitoring systems shall:</w:t>
      </w:r>
    </w:p>
    <w:p w14:paraId="25BA6CDC"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Establish and maintain individual behavioral baselines for each customer, reflecting expected transaction types, amounts, frequencies, counterparties, and geographies, based on the customer's stated purpose and account profile;</w:t>
      </w:r>
    </w:p>
    <w:p w14:paraId="7BEF07D7"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Generate alerts upon detection of transactions that deviate materially from the established baseline or that match known typological patterns of money laundering, fraud, account takeover, or terrorist financing;</w:t>
      </w:r>
    </w:p>
    <w:p w14:paraId="1C0CADBB"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Apply enhanced monitoring rules to accounts with elevated risk classifications (Tier 2 and Tier 3) and to accounts that have previously generated AI-impersonation or fraud alerts;</w:t>
      </w:r>
    </w:p>
    <w:p w14:paraId="2D71A4B1"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Produce timely alerts enabling SAR filing within required regulatory timeframes where applicable thresholds are met.</w:t>
      </w:r>
    </w:p>
    <w:p w14:paraId="7BC7F842" w14:textId="77777777" w:rsidR="0018469C" w:rsidRDefault="00000000">
      <w:pPr>
        <w:pStyle w:val="Heading3"/>
        <w:spacing w:before="240" w:after="80" w:line="312" w:lineRule="auto"/>
      </w:pPr>
      <w:r>
        <w:rPr>
          <w:rFonts w:ascii="Calibri" w:eastAsia="Calibri" w:hAnsi="Calibri" w:cs="Calibri"/>
          <w:color w:val="1A1A1A"/>
          <w:sz w:val="24"/>
          <w:szCs w:val="24"/>
        </w:rPr>
        <w:t>6.2   Re-Verification Triggers</w:t>
      </w:r>
    </w:p>
    <w:p w14:paraId="418BF3A3" w14:textId="77777777" w:rsidR="0018469C" w:rsidRDefault="00000000">
      <w:pPr>
        <w:spacing w:before="60" w:after="120" w:line="360" w:lineRule="auto"/>
      </w:pPr>
      <w:r>
        <w:rPr>
          <w:rFonts w:ascii="Calibri" w:eastAsia="Calibri" w:hAnsi="Calibri" w:cs="Calibri"/>
          <w:color w:val="000000"/>
          <w:sz w:val="22"/>
          <w:szCs w:val="22"/>
        </w:rPr>
        <w:t>Mandatory re-KYC — requiring the customer to re-complete applicable identity verification procedures — shall be triggered by any of the following events:</w:t>
      </w:r>
    </w:p>
    <w:p w14:paraId="310E913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Reactivation of an account that has been dormant for twelve (12) months or more;</w:t>
      </w:r>
    </w:p>
    <w:p w14:paraId="16E53B5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Significant, unexplained change in transaction behavior that is inconsistent with the established customer profile;</w:t>
      </w:r>
    </w:p>
    <w:p w14:paraId="7321CB4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Any change in beneficial ownership of a legal entity customer;</w:t>
      </w:r>
    </w:p>
    <w:p w14:paraId="72801A63"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Customer-reported account compromise or unauthorized access;</w:t>
      </w:r>
    </w:p>
    <w:p w14:paraId="37813FC7"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lastRenderedPageBreak/>
        <w:t xml:space="preserve">Detection of account takeover indicators, including but not limited </w:t>
      </w:r>
      <w:proofErr w:type="gramStart"/>
      <w:r>
        <w:rPr>
          <w:rFonts w:ascii="Calibri" w:eastAsia="Calibri" w:hAnsi="Calibri" w:cs="Calibri"/>
          <w:color w:val="000000"/>
          <w:sz w:val="22"/>
          <w:szCs w:val="22"/>
        </w:rPr>
        <w:t>to:</w:t>
      </w:r>
      <w:proofErr w:type="gramEnd"/>
      <w:r>
        <w:rPr>
          <w:rFonts w:ascii="Calibri" w:eastAsia="Calibri" w:hAnsi="Calibri" w:cs="Calibri"/>
          <w:color w:val="000000"/>
          <w:sz w:val="22"/>
          <w:szCs w:val="22"/>
        </w:rPr>
        <w:t xml:space="preserve"> login from a new device combined with credential-change requests, rapid changes to contact information, or multiple failed authentication attempts followed by access from a new IP;</w:t>
      </w:r>
    </w:p>
    <w:p w14:paraId="747879D9"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Receipt of a court order, law enforcement inquiry, or regulator request relating to the account.</w:t>
      </w:r>
    </w:p>
    <w:p w14:paraId="4CE781C0" w14:textId="77777777" w:rsidR="0018469C" w:rsidRDefault="00000000">
      <w:pPr>
        <w:pStyle w:val="Heading3"/>
        <w:spacing w:before="240" w:after="80" w:line="312" w:lineRule="auto"/>
      </w:pPr>
      <w:r>
        <w:rPr>
          <w:rFonts w:ascii="Calibri" w:eastAsia="Calibri" w:hAnsi="Calibri" w:cs="Calibri"/>
          <w:color w:val="1A1A1A"/>
          <w:sz w:val="24"/>
          <w:szCs w:val="24"/>
        </w:rPr>
        <w:t>6.3   Adverse Media and Sanctions Screening</w:t>
      </w:r>
    </w:p>
    <w:p w14:paraId="68698FC5" w14:textId="77777777" w:rsidR="0018469C" w:rsidRDefault="00000000">
      <w:pPr>
        <w:spacing w:before="60" w:after="120" w:line="360" w:lineRule="auto"/>
      </w:pPr>
      <w:r>
        <w:rPr>
          <w:rFonts w:ascii="Calibri" w:eastAsia="Calibri" w:hAnsi="Calibri" w:cs="Calibri"/>
          <w:color w:val="000000"/>
          <w:sz w:val="22"/>
          <w:szCs w:val="22"/>
        </w:rPr>
        <w:t>The institution shall maintain automated adverse media monitoring and sanctions screening programs with the following minimum requirements:</w:t>
      </w:r>
    </w:p>
    <w:p w14:paraId="34BD5D6C"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Automated sweeps of adverse media sources — including domestic and international news databases, court records, and regulatory action repositories — conducted on a continuous or daily basis for all active customers;</w:t>
      </w:r>
    </w:p>
    <w:p w14:paraId="5FB5BE71"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OFAC Specially Designated Nationals (SDN) and consolidated sanctions list delta-checks performed at minimum daily, with intra-day screening applied to wire transactions;</w:t>
      </w:r>
    </w:p>
    <w:p w14:paraId="5A57D67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Alerts generated by adverse media or sanctions screening must be reviewed and </w:t>
      </w:r>
      <w:proofErr w:type="gramStart"/>
      <w:r>
        <w:rPr>
          <w:rFonts w:ascii="Calibri" w:eastAsia="Calibri" w:hAnsi="Calibri" w:cs="Calibri"/>
          <w:color w:val="000000"/>
          <w:sz w:val="22"/>
          <w:szCs w:val="22"/>
        </w:rPr>
        <w:t>dispositioned</w:t>
      </w:r>
      <w:proofErr w:type="gramEnd"/>
      <w:r>
        <w:rPr>
          <w:rFonts w:ascii="Calibri" w:eastAsia="Calibri" w:hAnsi="Calibri" w:cs="Calibri"/>
          <w:color w:val="000000"/>
          <w:sz w:val="22"/>
          <w:szCs w:val="22"/>
        </w:rPr>
        <w:t xml:space="preserve"> within service-level agreement (SLA) timeframes established by the BSA/AML Officer, which shall not exceed ten (10) business days for standard alerts or forty-eight (48) hours for potential OFAC matches;</w:t>
      </w:r>
    </w:p>
    <w:p w14:paraId="76CB256F"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Confirmed sanctions matches require immediate account restriction and escalation to Legal Counsel and the BSA/AML Officer.</w:t>
      </w:r>
    </w:p>
    <w:p w14:paraId="6A6818D8" w14:textId="77777777" w:rsidR="0018469C" w:rsidRDefault="00000000">
      <w:pPr>
        <w:pStyle w:val="Heading3"/>
        <w:spacing w:before="240" w:after="80" w:line="312" w:lineRule="auto"/>
      </w:pPr>
      <w:r>
        <w:rPr>
          <w:rFonts w:ascii="Calibri" w:eastAsia="Calibri" w:hAnsi="Calibri" w:cs="Calibri"/>
          <w:color w:val="1A1A1A"/>
          <w:sz w:val="24"/>
          <w:szCs w:val="24"/>
        </w:rPr>
        <w:t>6.4   Account Lifecycle Risk Review</w:t>
      </w:r>
    </w:p>
    <w:p w14:paraId="368E0AAF" w14:textId="77777777" w:rsidR="0018469C" w:rsidRDefault="00000000">
      <w:pPr>
        <w:spacing w:before="60" w:after="120" w:line="360" w:lineRule="auto"/>
      </w:pPr>
      <w:r>
        <w:rPr>
          <w:rFonts w:ascii="Calibri" w:eastAsia="Calibri" w:hAnsi="Calibri" w:cs="Calibri"/>
          <w:color w:val="000000"/>
          <w:sz w:val="22"/>
          <w:szCs w:val="22"/>
        </w:rPr>
        <w:t>Periodic re-KYC reviews shall be conducted at the following minimum frequencies, based on the customer's current risk classification:</w:t>
      </w:r>
    </w:p>
    <w:p w14:paraId="023CAADA" w14:textId="77777777" w:rsidR="0018469C" w:rsidRDefault="0018469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683"/>
        <w:gridCol w:w="1870"/>
        <w:gridCol w:w="5797"/>
      </w:tblGrid>
      <w:tr w:rsidR="0018469C" w14:paraId="1000C961" w14:textId="77777777">
        <w:trPr>
          <w:tblHeader/>
        </w:trPr>
        <w:tc>
          <w:tcPr>
            <w:tcW w:w="900" w:type="pct"/>
            <w:shd w:val="clear" w:color="auto" w:fill="E8EEF7"/>
            <w:tcMar>
              <w:top w:w="90" w:type="dxa"/>
              <w:left w:w="135" w:type="dxa"/>
              <w:bottom w:w="90" w:type="dxa"/>
              <w:right w:w="135" w:type="dxa"/>
            </w:tcMar>
          </w:tcPr>
          <w:p w14:paraId="6C73276A" w14:textId="77777777" w:rsidR="0018469C" w:rsidRDefault="00000000">
            <w:r>
              <w:rPr>
                <w:rFonts w:ascii="Calibri" w:eastAsia="Calibri" w:hAnsi="Calibri" w:cs="Calibri"/>
                <w:b/>
                <w:bCs/>
                <w:color w:val="000000"/>
                <w:sz w:val="20"/>
                <w:szCs w:val="20"/>
              </w:rPr>
              <w:t>Customer Risk Classification</w:t>
            </w:r>
          </w:p>
        </w:tc>
        <w:tc>
          <w:tcPr>
            <w:tcW w:w="1000" w:type="pct"/>
            <w:shd w:val="clear" w:color="auto" w:fill="E8EEF7"/>
            <w:tcMar>
              <w:top w:w="90" w:type="dxa"/>
              <w:left w:w="135" w:type="dxa"/>
              <w:bottom w:w="90" w:type="dxa"/>
              <w:right w:w="135" w:type="dxa"/>
            </w:tcMar>
          </w:tcPr>
          <w:p w14:paraId="18BBEC86" w14:textId="77777777" w:rsidR="0018469C" w:rsidRDefault="00000000">
            <w:r>
              <w:rPr>
                <w:rFonts w:ascii="Calibri" w:eastAsia="Calibri" w:hAnsi="Calibri" w:cs="Calibri"/>
                <w:b/>
                <w:bCs/>
                <w:color w:val="000000"/>
                <w:sz w:val="20"/>
                <w:szCs w:val="20"/>
              </w:rPr>
              <w:t>Periodic Re-KYC Frequency</w:t>
            </w:r>
          </w:p>
        </w:tc>
        <w:tc>
          <w:tcPr>
            <w:tcW w:w="3100" w:type="pct"/>
            <w:shd w:val="clear" w:color="auto" w:fill="E8EEF7"/>
            <w:tcMar>
              <w:top w:w="90" w:type="dxa"/>
              <w:left w:w="135" w:type="dxa"/>
              <w:bottom w:w="90" w:type="dxa"/>
              <w:right w:w="135" w:type="dxa"/>
            </w:tcMar>
          </w:tcPr>
          <w:p w14:paraId="7C6D8128" w14:textId="77777777" w:rsidR="0018469C" w:rsidRDefault="00000000">
            <w:r>
              <w:rPr>
                <w:rFonts w:ascii="Calibri" w:eastAsia="Calibri" w:hAnsi="Calibri" w:cs="Calibri"/>
                <w:b/>
                <w:bCs/>
                <w:color w:val="000000"/>
                <w:sz w:val="20"/>
                <w:szCs w:val="20"/>
              </w:rPr>
              <w:t>Event-Driven Re-KYC Window</w:t>
            </w:r>
          </w:p>
        </w:tc>
      </w:tr>
      <w:tr w:rsidR="0018469C" w14:paraId="2D9ADA2F" w14:textId="77777777">
        <w:tc>
          <w:tcPr>
            <w:tcW w:w="900" w:type="pct"/>
            <w:tcMar>
              <w:top w:w="90" w:type="dxa"/>
              <w:left w:w="135" w:type="dxa"/>
              <w:bottom w:w="90" w:type="dxa"/>
              <w:right w:w="135" w:type="dxa"/>
            </w:tcMar>
          </w:tcPr>
          <w:p w14:paraId="093A4CCF" w14:textId="77777777" w:rsidR="0018469C" w:rsidRDefault="00000000">
            <w:r>
              <w:rPr>
                <w:rFonts w:ascii="Calibri" w:eastAsia="Calibri" w:hAnsi="Calibri" w:cs="Calibri"/>
                <w:color w:val="000000"/>
                <w:sz w:val="20"/>
                <w:szCs w:val="20"/>
              </w:rPr>
              <w:t>Low Risk</w:t>
            </w:r>
          </w:p>
        </w:tc>
        <w:tc>
          <w:tcPr>
            <w:tcW w:w="1000" w:type="pct"/>
            <w:tcMar>
              <w:top w:w="90" w:type="dxa"/>
              <w:left w:w="135" w:type="dxa"/>
              <w:bottom w:w="90" w:type="dxa"/>
              <w:right w:w="135" w:type="dxa"/>
            </w:tcMar>
          </w:tcPr>
          <w:p w14:paraId="1CA14804" w14:textId="77777777" w:rsidR="0018469C" w:rsidRDefault="00000000">
            <w:r>
              <w:rPr>
                <w:rFonts w:ascii="Calibri" w:eastAsia="Calibri" w:hAnsi="Calibri" w:cs="Calibri"/>
                <w:color w:val="000000"/>
                <w:sz w:val="20"/>
                <w:szCs w:val="20"/>
              </w:rPr>
              <w:t>Every 3 years</w:t>
            </w:r>
          </w:p>
        </w:tc>
        <w:tc>
          <w:tcPr>
            <w:tcW w:w="3100" w:type="pct"/>
            <w:tcMar>
              <w:top w:w="90" w:type="dxa"/>
              <w:left w:w="135" w:type="dxa"/>
              <w:bottom w:w="90" w:type="dxa"/>
              <w:right w:w="135" w:type="dxa"/>
            </w:tcMar>
          </w:tcPr>
          <w:p w14:paraId="7254785F" w14:textId="77777777" w:rsidR="0018469C" w:rsidRDefault="00000000">
            <w:r>
              <w:rPr>
                <w:rFonts w:ascii="Calibri" w:eastAsia="Calibri" w:hAnsi="Calibri" w:cs="Calibri"/>
                <w:color w:val="000000"/>
                <w:sz w:val="20"/>
                <w:szCs w:val="20"/>
              </w:rPr>
              <w:t>Within 30 days of any trigger event identified in Section 6.2</w:t>
            </w:r>
          </w:p>
        </w:tc>
      </w:tr>
      <w:tr w:rsidR="0018469C" w14:paraId="258F030A" w14:textId="77777777">
        <w:tc>
          <w:tcPr>
            <w:tcW w:w="900" w:type="pct"/>
            <w:tcMar>
              <w:top w:w="90" w:type="dxa"/>
              <w:left w:w="135" w:type="dxa"/>
              <w:bottom w:w="90" w:type="dxa"/>
              <w:right w:w="135" w:type="dxa"/>
            </w:tcMar>
          </w:tcPr>
          <w:p w14:paraId="28B118B7" w14:textId="77777777" w:rsidR="0018469C" w:rsidRDefault="00000000">
            <w:r>
              <w:rPr>
                <w:rFonts w:ascii="Calibri" w:eastAsia="Calibri" w:hAnsi="Calibri" w:cs="Calibri"/>
                <w:color w:val="000000"/>
                <w:sz w:val="20"/>
                <w:szCs w:val="20"/>
              </w:rPr>
              <w:t>Medium Risk</w:t>
            </w:r>
          </w:p>
        </w:tc>
        <w:tc>
          <w:tcPr>
            <w:tcW w:w="1000" w:type="pct"/>
            <w:tcMar>
              <w:top w:w="90" w:type="dxa"/>
              <w:left w:w="135" w:type="dxa"/>
              <w:bottom w:w="90" w:type="dxa"/>
              <w:right w:w="135" w:type="dxa"/>
            </w:tcMar>
          </w:tcPr>
          <w:p w14:paraId="2D0DDD94" w14:textId="77777777" w:rsidR="0018469C" w:rsidRDefault="00000000">
            <w:r>
              <w:rPr>
                <w:rFonts w:ascii="Calibri" w:eastAsia="Calibri" w:hAnsi="Calibri" w:cs="Calibri"/>
                <w:color w:val="000000"/>
                <w:sz w:val="20"/>
                <w:szCs w:val="20"/>
              </w:rPr>
              <w:t>Every 2 years</w:t>
            </w:r>
          </w:p>
        </w:tc>
        <w:tc>
          <w:tcPr>
            <w:tcW w:w="3100" w:type="pct"/>
            <w:tcMar>
              <w:top w:w="90" w:type="dxa"/>
              <w:left w:w="135" w:type="dxa"/>
              <w:bottom w:w="90" w:type="dxa"/>
              <w:right w:w="135" w:type="dxa"/>
            </w:tcMar>
          </w:tcPr>
          <w:p w14:paraId="07FA39FB" w14:textId="77777777" w:rsidR="0018469C" w:rsidRDefault="00000000">
            <w:r>
              <w:rPr>
                <w:rFonts w:ascii="Calibri" w:eastAsia="Calibri" w:hAnsi="Calibri" w:cs="Calibri"/>
                <w:color w:val="000000"/>
                <w:sz w:val="20"/>
                <w:szCs w:val="20"/>
              </w:rPr>
              <w:t>Within 30 days of any trigger event identified in Section 6.2</w:t>
            </w:r>
          </w:p>
        </w:tc>
      </w:tr>
      <w:tr w:rsidR="0018469C" w14:paraId="4F073A7F" w14:textId="77777777">
        <w:tc>
          <w:tcPr>
            <w:tcW w:w="900" w:type="pct"/>
            <w:tcMar>
              <w:top w:w="90" w:type="dxa"/>
              <w:left w:w="135" w:type="dxa"/>
              <w:bottom w:w="90" w:type="dxa"/>
              <w:right w:w="135" w:type="dxa"/>
            </w:tcMar>
          </w:tcPr>
          <w:p w14:paraId="7A745A97" w14:textId="77777777" w:rsidR="0018469C" w:rsidRDefault="00000000">
            <w:r>
              <w:rPr>
                <w:rFonts w:ascii="Calibri" w:eastAsia="Calibri" w:hAnsi="Calibri" w:cs="Calibri"/>
                <w:color w:val="000000"/>
                <w:sz w:val="20"/>
                <w:szCs w:val="20"/>
              </w:rPr>
              <w:t>High Risk</w:t>
            </w:r>
          </w:p>
        </w:tc>
        <w:tc>
          <w:tcPr>
            <w:tcW w:w="1000" w:type="pct"/>
            <w:tcMar>
              <w:top w:w="90" w:type="dxa"/>
              <w:left w:w="135" w:type="dxa"/>
              <w:bottom w:w="90" w:type="dxa"/>
              <w:right w:w="135" w:type="dxa"/>
            </w:tcMar>
          </w:tcPr>
          <w:p w14:paraId="5CC44964" w14:textId="77777777" w:rsidR="0018469C" w:rsidRDefault="00000000">
            <w:r>
              <w:rPr>
                <w:rFonts w:ascii="Calibri" w:eastAsia="Calibri" w:hAnsi="Calibri" w:cs="Calibri"/>
                <w:color w:val="000000"/>
                <w:sz w:val="20"/>
                <w:szCs w:val="20"/>
              </w:rPr>
              <w:t>Annually</w:t>
            </w:r>
          </w:p>
        </w:tc>
        <w:tc>
          <w:tcPr>
            <w:tcW w:w="3100" w:type="pct"/>
            <w:tcMar>
              <w:top w:w="90" w:type="dxa"/>
              <w:left w:w="135" w:type="dxa"/>
              <w:bottom w:w="90" w:type="dxa"/>
              <w:right w:w="135" w:type="dxa"/>
            </w:tcMar>
          </w:tcPr>
          <w:p w14:paraId="714068F4" w14:textId="77777777" w:rsidR="0018469C" w:rsidRDefault="00000000">
            <w:r>
              <w:rPr>
                <w:rFonts w:ascii="Calibri" w:eastAsia="Calibri" w:hAnsi="Calibri" w:cs="Calibri"/>
                <w:color w:val="000000"/>
                <w:sz w:val="20"/>
                <w:szCs w:val="20"/>
              </w:rPr>
              <w:t>Within 30 days of any trigger event identified in Section 6.2</w:t>
            </w:r>
          </w:p>
        </w:tc>
      </w:tr>
    </w:tbl>
    <w:p w14:paraId="635BFCAA" w14:textId="77777777" w:rsidR="0018469C" w:rsidRDefault="0018469C">
      <w:pPr>
        <w:spacing w:after="200"/>
      </w:pPr>
    </w:p>
    <w:p w14:paraId="5AF9007D" w14:textId="77777777" w:rsidR="0018469C" w:rsidRDefault="00000000">
      <w:pPr>
        <w:spacing w:before="60" w:after="120" w:line="360" w:lineRule="auto"/>
      </w:pPr>
      <w:r>
        <w:rPr>
          <w:rFonts w:ascii="Calibri" w:eastAsia="Calibri" w:hAnsi="Calibri" w:cs="Calibri"/>
          <w:color w:val="000000"/>
          <w:sz w:val="22"/>
          <w:szCs w:val="22"/>
        </w:rPr>
        <w:lastRenderedPageBreak/>
        <w:t>Re-KYC reviews must be documented, and any changes in the customer's risk classification resulting from re-KYC must be reflected in the customer risk profile and reported to the BSA/AML Officer within five (5) business days of completion.</w:t>
      </w:r>
    </w:p>
    <w:p w14:paraId="1D94A97B" w14:textId="77777777" w:rsidR="0018469C" w:rsidRDefault="0018469C">
      <w:pPr>
        <w:pBdr>
          <w:bottom w:val="single" w:sz="6" w:space="0" w:color="000000"/>
        </w:pBdr>
        <w:spacing w:before="240" w:after="240"/>
      </w:pPr>
    </w:p>
    <w:p w14:paraId="6B36A700" w14:textId="77777777" w:rsidR="0018469C" w:rsidRDefault="00000000">
      <w:pPr>
        <w:pStyle w:val="Heading2"/>
        <w:spacing w:before="360" w:after="100" w:line="312" w:lineRule="auto"/>
      </w:pPr>
      <w:r>
        <w:rPr>
          <w:rFonts w:ascii="Calibri" w:eastAsia="Calibri" w:hAnsi="Calibri" w:cs="Calibri"/>
          <w:color w:val="1A1A1A"/>
          <w:sz w:val="28"/>
          <w:szCs w:val="28"/>
        </w:rPr>
        <w:t>7.0   Agentic AI Impersonation Controls</w:t>
      </w:r>
    </w:p>
    <w:p w14:paraId="2AB1AA9B" w14:textId="77777777" w:rsidR="0018469C" w:rsidRDefault="0018469C">
      <w:pPr>
        <w:pBdr>
          <w:top w:val="single" w:sz="6" w:space="0" w:color="2B5797"/>
        </w:pBdr>
        <w:spacing w:after="200"/>
      </w:pPr>
    </w:p>
    <w:p w14:paraId="7CEABCAB" w14:textId="77777777" w:rsidR="0018469C" w:rsidRDefault="0018469C">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8469C" w14:paraId="260E5525" w14:textId="77777777">
        <w:tc>
          <w:tcPr>
            <w:tcW w:w="0" w:type="auto"/>
            <w:tcBorders>
              <w:top w:val="single" w:sz="6" w:space="0" w:color="2B5797"/>
              <w:left w:val="single" w:sz="6" w:space="0" w:color="2B5797"/>
              <w:bottom w:val="single" w:sz="6" w:space="0" w:color="2B5797"/>
              <w:right w:val="single" w:sz="6" w:space="0" w:color="2B5797"/>
            </w:tcBorders>
            <w:shd w:val="clear" w:color="auto" w:fill="E8EEF7"/>
            <w:tcMar>
              <w:top w:w="150" w:type="dxa"/>
              <w:left w:w="210" w:type="dxa"/>
              <w:bottom w:w="150" w:type="dxa"/>
              <w:right w:w="210" w:type="dxa"/>
            </w:tcMar>
          </w:tcPr>
          <w:p w14:paraId="5454ED72" w14:textId="77777777" w:rsidR="0018469C" w:rsidRDefault="00000000">
            <w:pPr>
              <w:spacing w:after="60" w:line="360" w:lineRule="auto"/>
            </w:pPr>
            <w:r>
              <w:rPr>
                <w:rFonts w:ascii="Calibri" w:eastAsia="Calibri" w:hAnsi="Calibri" w:cs="Calibri"/>
                <w:b/>
                <w:bCs/>
                <w:color w:val="2B5797"/>
                <w:sz w:val="22"/>
                <w:szCs w:val="22"/>
              </w:rPr>
              <w:t>Policy Priority</w:t>
            </w:r>
          </w:p>
          <w:p w14:paraId="59261C08" w14:textId="77777777" w:rsidR="0018469C" w:rsidRDefault="00000000">
            <w:pPr>
              <w:spacing w:line="360" w:lineRule="auto"/>
            </w:pPr>
            <w:r>
              <w:rPr>
                <w:rFonts w:ascii="Calibri" w:eastAsia="Calibri" w:hAnsi="Calibri" w:cs="Calibri"/>
                <w:color w:val="000000"/>
                <w:sz w:val="22"/>
                <w:szCs w:val="22"/>
              </w:rPr>
              <w:t>Section 7.0 contains the institution's most critical and operationally differentiated controls. All personnel with KYC, technology, or vendor oversight responsibilities must be familiar with the requirements of this section. The controls herein address risks not contemplated by existing regulatory standards and reflect the institution's affirmative commitment to maintaining the integrity of human identity requirements in the digital banking context.</w:t>
            </w:r>
          </w:p>
        </w:tc>
      </w:tr>
    </w:tbl>
    <w:p w14:paraId="0EE5380C" w14:textId="77777777" w:rsidR="0018469C" w:rsidRDefault="0018469C">
      <w:pPr>
        <w:spacing w:after="240"/>
      </w:pPr>
    </w:p>
    <w:p w14:paraId="0AA3E267" w14:textId="77777777" w:rsidR="0018469C" w:rsidRDefault="00000000">
      <w:pPr>
        <w:pStyle w:val="Heading3"/>
        <w:spacing w:before="240" w:after="80" w:line="312" w:lineRule="auto"/>
      </w:pPr>
      <w:r>
        <w:rPr>
          <w:rFonts w:ascii="Calibri" w:eastAsia="Calibri" w:hAnsi="Calibri" w:cs="Calibri"/>
          <w:color w:val="1A1A1A"/>
          <w:sz w:val="24"/>
          <w:szCs w:val="24"/>
        </w:rPr>
        <w:t>7.1   Human Presence Requirement</w:t>
      </w:r>
    </w:p>
    <w:p w14:paraId="4C314C2E" w14:textId="77777777" w:rsidR="0018469C" w:rsidRDefault="00000000">
      <w:pPr>
        <w:spacing w:before="60" w:after="120" w:line="360" w:lineRule="auto"/>
      </w:pPr>
      <w:r>
        <w:rPr>
          <w:rFonts w:ascii="Calibri" w:eastAsia="Calibri" w:hAnsi="Calibri" w:cs="Calibri"/>
          <w:color w:val="000000"/>
          <w:sz w:val="22"/>
          <w:szCs w:val="22"/>
        </w:rPr>
        <w:t>The institution requires the active, real-time participation of a natural person — that is, demonstrable Human Presence — for all of the following designated interactions. Human presence must be technically evidenced through the controls described in this Section 7.0 and must not be based solely on the applicant's or customer's self-attestation.</w:t>
      </w:r>
    </w:p>
    <w:p w14:paraId="1A44547C" w14:textId="77777777" w:rsidR="0018469C" w:rsidRDefault="00000000">
      <w:pPr>
        <w:spacing w:before="60" w:after="120" w:line="360" w:lineRule="auto"/>
      </w:pPr>
      <w:r>
        <w:rPr>
          <w:rFonts w:ascii="Calibri" w:eastAsia="Calibri" w:hAnsi="Calibri" w:cs="Calibri"/>
          <w:color w:val="000000"/>
          <w:sz w:val="22"/>
          <w:szCs w:val="22"/>
        </w:rPr>
        <w:t>Designated interactions requiring Human Presence Attestation:</w:t>
      </w:r>
    </w:p>
    <w:p w14:paraId="4A69CF5F"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Initial account opening and all identity proofing steps;</w:t>
      </w:r>
    </w:p>
    <w:p w14:paraId="58453D70"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Changes to primary contact information, including email address, mobile phone number, or mailing/residential address;</w:t>
      </w:r>
    </w:p>
    <w:p w14:paraId="7352C7ED"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Beneficiary designations and any updates thereto;</w:t>
      </w:r>
    </w:p>
    <w:p w14:paraId="49CCD1EC"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Wire transfer initiation above thresholds established by the BSA/AML Officer;</w:t>
      </w:r>
    </w:p>
    <w:p w14:paraId="519E2A4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Account closure;</w:t>
      </w:r>
    </w:p>
    <w:p w14:paraId="3BC8633F"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Loan or credit applications submitted through digital channels;</w:t>
      </w:r>
    </w:p>
    <w:p w14:paraId="11943AFC"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Addition of authorized users, joint account holders, or signatories.</w:t>
      </w:r>
    </w:p>
    <w:p w14:paraId="7EA799E1" w14:textId="77777777" w:rsidR="0018469C" w:rsidRDefault="00000000">
      <w:pPr>
        <w:spacing w:before="60" w:after="120" w:line="360" w:lineRule="auto"/>
      </w:pPr>
      <w:r>
        <w:rPr>
          <w:rFonts w:ascii="Calibri" w:eastAsia="Calibri" w:hAnsi="Calibri" w:cs="Calibri"/>
          <w:color w:val="000000"/>
          <w:sz w:val="22"/>
          <w:szCs w:val="22"/>
        </w:rPr>
        <w:lastRenderedPageBreak/>
        <w:t xml:space="preserve">The institution shall maintain a </w:t>
      </w:r>
      <w:r>
        <w:rPr>
          <w:rFonts w:ascii="Calibri" w:eastAsia="Calibri" w:hAnsi="Calibri" w:cs="Calibri"/>
          <w:b/>
          <w:bCs/>
          <w:color w:val="000000"/>
          <w:sz w:val="22"/>
          <w:szCs w:val="22"/>
        </w:rPr>
        <w:t>Designated Interaction Register</w:t>
      </w:r>
      <w:r>
        <w:rPr>
          <w:rFonts w:ascii="Calibri" w:eastAsia="Calibri" w:hAnsi="Calibri" w:cs="Calibri"/>
          <w:color w:val="000000"/>
          <w:sz w:val="22"/>
          <w:szCs w:val="22"/>
        </w:rPr>
        <w:t>, updated at minimum annually by the CCO and CISO jointly, specifying the technical Human Presence Attestation controls applied to each designated interaction type.</w:t>
      </w:r>
    </w:p>
    <w:p w14:paraId="7EC73FC0" w14:textId="77777777" w:rsidR="0018469C" w:rsidRDefault="00000000">
      <w:pPr>
        <w:pStyle w:val="Heading3"/>
        <w:spacing w:before="240" w:after="80" w:line="312" w:lineRule="auto"/>
      </w:pPr>
      <w:r>
        <w:rPr>
          <w:rFonts w:ascii="Calibri" w:eastAsia="Calibri" w:hAnsi="Calibri" w:cs="Calibri"/>
          <w:color w:val="1A1A1A"/>
          <w:sz w:val="24"/>
          <w:szCs w:val="24"/>
        </w:rPr>
        <w:t>7.2   AI Disclosure Obligation</w:t>
      </w:r>
    </w:p>
    <w:p w14:paraId="3CE5A20F" w14:textId="77777777" w:rsidR="0018469C" w:rsidRDefault="00000000">
      <w:pPr>
        <w:spacing w:before="60" w:after="120" w:line="360" w:lineRule="auto"/>
      </w:pPr>
      <w:r>
        <w:rPr>
          <w:rFonts w:ascii="Calibri" w:eastAsia="Calibri" w:hAnsi="Calibri" w:cs="Calibri"/>
          <w:color w:val="000000"/>
          <w:sz w:val="22"/>
          <w:szCs w:val="22"/>
        </w:rPr>
        <w:t>Customers who use, or intend to use, agentic AI systems to assist with any banking transactions — including, without limitation, account applications, form completion, transaction initiation, or communication with the institution — bear an affirmative, non-waivable obligation to disclose the use of such systems prior to or at the commencement of the relevant interaction.</w:t>
      </w:r>
    </w:p>
    <w:p w14:paraId="5086F649" w14:textId="77777777" w:rsidR="0018469C" w:rsidRDefault="00000000">
      <w:pPr>
        <w:spacing w:before="60" w:after="120" w:line="360" w:lineRule="auto"/>
      </w:pPr>
      <w:r>
        <w:rPr>
          <w:rFonts w:ascii="Calibri" w:eastAsia="Calibri" w:hAnsi="Calibri" w:cs="Calibri"/>
          <w:color w:val="000000"/>
          <w:sz w:val="22"/>
          <w:szCs w:val="22"/>
        </w:rPr>
        <w:t>The institution reserves the right to:</w:t>
      </w:r>
    </w:p>
    <w:p w14:paraId="64A32A61"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Require step-up verification where AI agency is suspected but has not been disclosed by the customer;</w:t>
      </w:r>
    </w:p>
    <w:p w14:paraId="629DBF9A"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Decline to process a transaction or application where undisclosed AI agent use is detected and cannot be resolved;</w:t>
      </w:r>
    </w:p>
    <w:p w14:paraId="58CC5428"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Suspend or restrict an account pending investigation where undisclosed AI-assisted interactions are identified post-hoc.</w:t>
      </w:r>
    </w:p>
    <w:p w14:paraId="31C55ADF" w14:textId="77777777" w:rsidR="0018469C" w:rsidRDefault="00000000">
      <w:pPr>
        <w:spacing w:before="60" w:after="120" w:line="360" w:lineRule="auto"/>
      </w:pPr>
      <w:r>
        <w:rPr>
          <w:rFonts w:ascii="Calibri" w:eastAsia="Calibri" w:hAnsi="Calibri" w:cs="Calibri"/>
          <w:color w:val="000000"/>
          <w:sz w:val="22"/>
          <w:szCs w:val="22"/>
        </w:rPr>
        <w:t>Undisclosed agentic AI interactions that successfully impersonate a human customer in the context of a designated interaction, as defined in Section 7.1, constitute a form of identity misrepresentation subject to the enforcement consequences described in Section 11.2. The institution's determination that AI impersonation has occurred does not require proof of fraudulent intent; the mere fact of non-disclosure in conjunction with affirmative deception of technical controls is sufficient to trigger enforcement.</w:t>
      </w:r>
    </w:p>
    <w:p w14:paraId="7B3BFCC4" w14:textId="77777777" w:rsidR="0018469C" w:rsidRDefault="00000000">
      <w:pPr>
        <w:pStyle w:val="Heading3"/>
        <w:spacing w:before="240" w:after="80" w:line="312" w:lineRule="auto"/>
      </w:pPr>
      <w:r>
        <w:rPr>
          <w:rFonts w:ascii="Calibri" w:eastAsia="Calibri" w:hAnsi="Calibri" w:cs="Calibri"/>
          <w:color w:val="1A1A1A"/>
          <w:sz w:val="24"/>
          <w:szCs w:val="24"/>
        </w:rPr>
        <w:t>7.3   Agentic AI Detection Controls</w:t>
      </w:r>
    </w:p>
    <w:p w14:paraId="475CF0A6" w14:textId="77777777" w:rsidR="0018469C" w:rsidRDefault="00000000">
      <w:pPr>
        <w:spacing w:before="60" w:after="120" w:line="360" w:lineRule="auto"/>
      </w:pPr>
      <w:r>
        <w:rPr>
          <w:rFonts w:ascii="Calibri" w:eastAsia="Calibri" w:hAnsi="Calibri" w:cs="Calibri"/>
          <w:color w:val="000000"/>
          <w:sz w:val="22"/>
          <w:szCs w:val="22"/>
        </w:rPr>
        <w:t>The institution shall deploy, maintain, and continuously improve the following technical controls to detect potential agentic AI interactions. These controls shall be layered and operated in combination; no single control shall be treated as sufficient in isolation.</w:t>
      </w:r>
    </w:p>
    <w:p w14:paraId="5388FD79" w14:textId="77777777" w:rsidR="0018469C" w:rsidRDefault="00000000">
      <w:pPr>
        <w:spacing w:before="60" w:after="120" w:line="360" w:lineRule="auto"/>
      </w:pPr>
      <w:r>
        <w:rPr>
          <w:rFonts w:ascii="Calibri" w:eastAsia="Calibri" w:hAnsi="Calibri" w:cs="Calibri"/>
          <w:b/>
          <w:bCs/>
          <w:color w:val="000000"/>
          <w:sz w:val="22"/>
          <w:szCs w:val="22"/>
        </w:rPr>
        <w:t>(a) Interaction Velocity Analysis.</w:t>
      </w:r>
      <w:r>
        <w:rPr>
          <w:rFonts w:ascii="Calibri" w:eastAsia="Calibri" w:hAnsi="Calibri" w:cs="Calibri"/>
          <w:color w:val="000000"/>
          <w:sz w:val="22"/>
          <w:szCs w:val="22"/>
        </w:rPr>
        <w:t xml:space="preserve"> The institution </w:t>
      </w:r>
      <w:proofErr w:type="gramStart"/>
      <w:r>
        <w:rPr>
          <w:rFonts w:ascii="Calibri" w:eastAsia="Calibri" w:hAnsi="Calibri" w:cs="Calibri"/>
          <w:color w:val="000000"/>
          <w:sz w:val="22"/>
          <w:szCs w:val="22"/>
        </w:rPr>
        <w:t>shall</w:t>
      </w:r>
      <w:proofErr w:type="gramEnd"/>
      <w:r>
        <w:rPr>
          <w:rFonts w:ascii="Calibri" w:eastAsia="Calibri" w:hAnsi="Calibri" w:cs="Calibri"/>
          <w:color w:val="000000"/>
          <w:sz w:val="22"/>
          <w:szCs w:val="22"/>
        </w:rPr>
        <w:t xml:space="preserve"> monitor sessions for anomalous interaction speeds that exceed human-plausible thresholds. Indicators to be monitored include, without limitation: form field completion times below statistically established human baseline minimums; typing speeds exceeding physiologically plausible rates; click or touch event timing with sub-millisecond precision inconsistent with human motor control; and absence of inter-keystroke variability characteristic of human typing behavior.</w:t>
      </w:r>
    </w:p>
    <w:p w14:paraId="4970FDBF" w14:textId="77777777" w:rsidR="0018469C" w:rsidRDefault="00000000">
      <w:pPr>
        <w:spacing w:before="60" w:after="120" w:line="360" w:lineRule="auto"/>
      </w:pPr>
      <w:r>
        <w:rPr>
          <w:rFonts w:ascii="Calibri" w:eastAsia="Calibri" w:hAnsi="Calibri" w:cs="Calibri"/>
          <w:b/>
          <w:bCs/>
          <w:color w:val="000000"/>
          <w:sz w:val="22"/>
          <w:szCs w:val="22"/>
        </w:rPr>
        <w:lastRenderedPageBreak/>
        <w:t>(b) Behavioral Biometric Profiling.</w:t>
      </w:r>
      <w:r>
        <w:rPr>
          <w:rFonts w:ascii="Calibri" w:eastAsia="Calibri" w:hAnsi="Calibri" w:cs="Calibri"/>
          <w:color w:val="000000"/>
          <w:sz w:val="22"/>
          <w:szCs w:val="22"/>
        </w:rPr>
        <w:t xml:space="preserve"> Behavioral biometric signals collected during each session shall be evaluated in real time against models trained on verified human interaction patterns. Where session behavior is consistent with automated or scripted navigation — as evidenced by non-human behavioral signatures — the system shall generate an AI-impersonation risk signal. Where the composite risk score warrants, the session may be subjected to an in-session human-behavioral challenge (a Turing-test equivalent) designed to elicit interaction that is computationally difficult for current AI systems to replicate convincingly.</w:t>
      </w:r>
    </w:p>
    <w:p w14:paraId="0EC36CB8" w14:textId="77777777" w:rsidR="0018469C" w:rsidRDefault="00000000">
      <w:pPr>
        <w:spacing w:before="60" w:after="120" w:line="360" w:lineRule="auto"/>
      </w:pPr>
      <w:r>
        <w:rPr>
          <w:rFonts w:ascii="Calibri" w:eastAsia="Calibri" w:hAnsi="Calibri" w:cs="Calibri"/>
          <w:b/>
          <w:bCs/>
          <w:color w:val="000000"/>
          <w:sz w:val="22"/>
          <w:szCs w:val="22"/>
        </w:rPr>
        <w:t>(c) Device Attestation.</w:t>
      </w:r>
      <w:r>
        <w:rPr>
          <w:rFonts w:ascii="Calibri" w:eastAsia="Calibri" w:hAnsi="Calibri" w:cs="Calibri"/>
          <w:color w:val="000000"/>
          <w:sz w:val="22"/>
          <w:szCs w:val="22"/>
        </w:rPr>
        <w:t xml:space="preserve"> The institution shall require platform-level device attestation for all mobile application interactions involving designated interactions as defined in Section 7.1. Acceptable attestation frameworks include, without limitation, the </w:t>
      </w:r>
      <w:r>
        <w:rPr>
          <w:rFonts w:ascii="Calibri" w:eastAsia="Calibri" w:hAnsi="Calibri" w:cs="Calibri"/>
          <w:b/>
          <w:bCs/>
          <w:color w:val="000000"/>
          <w:sz w:val="22"/>
          <w:szCs w:val="22"/>
        </w:rPr>
        <w:t>Google Play Integrity API</w:t>
      </w:r>
      <w:r>
        <w:rPr>
          <w:rFonts w:ascii="Calibri" w:eastAsia="Calibri" w:hAnsi="Calibri" w:cs="Calibri"/>
          <w:color w:val="000000"/>
          <w:sz w:val="22"/>
          <w:szCs w:val="22"/>
        </w:rPr>
        <w:t xml:space="preserve"> for Android devices and </w:t>
      </w:r>
      <w:r>
        <w:rPr>
          <w:rFonts w:ascii="Calibri" w:eastAsia="Calibri" w:hAnsi="Calibri" w:cs="Calibri"/>
          <w:b/>
          <w:bCs/>
          <w:color w:val="000000"/>
          <w:sz w:val="22"/>
          <w:szCs w:val="22"/>
        </w:rPr>
        <w:t xml:space="preserve">Apple </w:t>
      </w:r>
      <w:proofErr w:type="spellStart"/>
      <w:r>
        <w:rPr>
          <w:rFonts w:ascii="Calibri" w:eastAsia="Calibri" w:hAnsi="Calibri" w:cs="Calibri"/>
          <w:b/>
          <w:bCs/>
          <w:color w:val="000000"/>
          <w:sz w:val="22"/>
          <w:szCs w:val="22"/>
        </w:rPr>
        <w:t>DeviceCheck</w:t>
      </w:r>
      <w:proofErr w:type="spellEnd"/>
      <w:r>
        <w:rPr>
          <w:rFonts w:ascii="Calibri" w:eastAsia="Calibri" w:hAnsi="Calibri" w:cs="Calibri"/>
          <w:b/>
          <w:bCs/>
          <w:color w:val="000000"/>
          <w:sz w:val="22"/>
          <w:szCs w:val="22"/>
        </w:rPr>
        <w:t xml:space="preserve"> / App Attest</w:t>
      </w:r>
      <w:r>
        <w:rPr>
          <w:rFonts w:ascii="Calibri" w:eastAsia="Calibri" w:hAnsi="Calibri" w:cs="Calibri"/>
          <w:color w:val="000000"/>
          <w:sz w:val="22"/>
          <w:szCs w:val="22"/>
        </w:rPr>
        <w:t xml:space="preserve"> for iOS devices. Device attestation must confirm that the interaction originates from a genuine, unmodified consumer device running an unmodified version of the institution's application, and not from a server-side automation environment, emulator, virtual machine, or modified device. Failure to pass device attestation on a designated interaction shall automatically trigger a step-up verification requirement.</w:t>
      </w:r>
    </w:p>
    <w:p w14:paraId="7A2E8AA2" w14:textId="77777777" w:rsidR="0018469C" w:rsidRDefault="00000000">
      <w:pPr>
        <w:spacing w:before="60" w:after="120" w:line="360" w:lineRule="auto"/>
      </w:pPr>
      <w:r>
        <w:rPr>
          <w:rFonts w:ascii="Calibri" w:eastAsia="Calibri" w:hAnsi="Calibri" w:cs="Calibri"/>
          <w:b/>
          <w:bCs/>
          <w:color w:val="000000"/>
          <w:sz w:val="22"/>
          <w:szCs w:val="22"/>
        </w:rPr>
        <w:t>(d) Injection Attack Detection.</w:t>
      </w:r>
      <w:r>
        <w:rPr>
          <w:rFonts w:ascii="Calibri" w:eastAsia="Calibri" w:hAnsi="Calibri" w:cs="Calibri"/>
          <w:color w:val="000000"/>
          <w:sz w:val="22"/>
          <w:szCs w:val="22"/>
        </w:rPr>
        <w:t xml:space="preserve"> The institution shall deploy controls that monitor the camera and microphone data pathways during biometric capture sessions for signs of media injection — i.e., interception of the device's video or audio output and substitution of AI-generated, pre-recorded, or manipulated media. Where technically feasible, biometric capture and liveness verification logic shall be executed server-side or within a cryptographically protected execution environment to reduce the attack surface for injection attacks. All biometric vendor integrations must support IAD controls and provide documentation of their injection attack detection approach.</w:t>
      </w:r>
    </w:p>
    <w:p w14:paraId="6689671B" w14:textId="77777777" w:rsidR="0018469C" w:rsidRDefault="00000000">
      <w:pPr>
        <w:spacing w:before="60" w:after="120" w:line="360" w:lineRule="auto"/>
      </w:pPr>
      <w:r>
        <w:rPr>
          <w:rFonts w:ascii="Calibri" w:eastAsia="Calibri" w:hAnsi="Calibri" w:cs="Calibri"/>
          <w:b/>
          <w:bCs/>
          <w:color w:val="000000"/>
          <w:sz w:val="22"/>
          <w:szCs w:val="22"/>
        </w:rPr>
        <w:t>(e) Liveness Challenge Diversity.</w:t>
      </w:r>
      <w:r>
        <w:rPr>
          <w:rFonts w:ascii="Calibri" w:eastAsia="Calibri" w:hAnsi="Calibri" w:cs="Calibri"/>
          <w:color w:val="000000"/>
          <w:sz w:val="22"/>
          <w:szCs w:val="22"/>
        </w:rPr>
        <w:t xml:space="preserve"> The institution's biometric liveness detection workflows shall employ a rotating, randomized challenge set designed to prevent pre-scripted or AI-model-generated responses from reliably defeating liveness requirements. Challenge types, timing, and sequencing shall be rotated at intervals determined by the CISO in consultation with the biometric vendor. Challenge designs must be evaluated for resistance to current generative AI response-generation capabilities. Static or predictable challenge sets are not compliant with this requirement.</w:t>
      </w:r>
    </w:p>
    <w:p w14:paraId="40455332" w14:textId="77777777" w:rsidR="0018469C" w:rsidRDefault="00000000">
      <w:pPr>
        <w:spacing w:before="60" w:after="120" w:line="360" w:lineRule="auto"/>
      </w:pPr>
      <w:r>
        <w:rPr>
          <w:rFonts w:ascii="Calibri" w:eastAsia="Calibri" w:hAnsi="Calibri" w:cs="Calibri"/>
          <w:b/>
          <w:bCs/>
          <w:color w:val="000000"/>
          <w:sz w:val="22"/>
          <w:szCs w:val="22"/>
        </w:rPr>
        <w:t>(f) Session Graph Analysis.</w:t>
      </w:r>
      <w:r>
        <w:rPr>
          <w:rFonts w:ascii="Calibri" w:eastAsia="Calibri" w:hAnsi="Calibri" w:cs="Calibri"/>
          <w:color w:val="000000"/>
          <w:sz w:val="22"/>
          <w:szCs w:val="22"/>
        </w:rPr>
        <w:t xml:space="preserve"> The institution shall analyze the full behavioral graph of each session — encompassing page transition sequences, dwell times on individual elements, scroll velocity and direction patterns, field interaction order, back-navigation and correction behaviors, and mouse hover patterns — for signatures inconsistent with human-driven navigation. Session graph analysis shall be </w:t>
      </w:r>
      <w:r>
        <w:rPr>
          <w:rFonts w:ascii="Calibri" w:eastAsia="Calibri" w:hAnsi="Calibri" w:cs="Calibri"/>
          <w:color w:val="000000"/>
          <w:sz w:val="22"/>
          <w:szCs w:val="22"/>
        </w:rPr>
        <w:lastRenderedPageBreak/>
        <w:t>applied retroactively as well as in real time, and session graphs from flagged accounts shall be preserved in the immutable evidence package required under Section 9.1.</w:t>
      </w:r>
    </w:p>
    <w:p w14:paraId="3E957D94" w14:textId="77777777" w:rsidR="0018469C" w:rsidRDefault="00000000">
      <w:pPr>
        <w:pStyle w:val="Heading3"/>
        <w:spacing w:before="240" w:after="80" w:line="312" w:lineRule="auto"/>
      </w:pPr>
      <w:r>
        <w:rPr>
          <w:rFonts w:ascii="Calibri" w:eastAsia="Calibri" w:hAnsi="Calibri" w:cs="Calibri"/>
          <w:color w:val="1A1A1A"/>
          <w:sz w:val="24"/>
          <w:szCs w:val="24"/>
        </w:rPr>
        <w:t>7.4   AI Risk Scoring Integration</w:t>
      </w:r>
    </w:p>
    <w:p w14:paraId="07FF7D7F" w14:textId="77777777" w:rsidR="0018469C" w:rsidRDefault="00000000">
      <w:pPr>
        <w:spacing w:before="60" w:after="120" w:line="360" w:lineRule="auto"/>
      </w:pPr>
      <w:r>
        <w:rPr>
          <w:rFonts w:ascii="Calibri" w:eastAsia="Calibri" w:hAnsi="Calibri" w:cs="Calibri"/>
          <w:color w:val="000000"/>
          <w:sz w:val="22"/>
          <w:szCs w:val="22"/>
        </w:rPr>
        <w:t>AI impersonation risk signals generated by the controls described in Section 7.3 shall be directly integrated into the multi-signal composite risk scoring framework described in Section 5.0. AI-impersonation signals shall constitute a distinct, weighted signal class within the composite score model.</w:t>
      </w:r>
    </w:p>
    <w:p w14:paraId="6F7E25BC" w14:textId="77777777" w:rsidR="0018469C" w:rsidRDefault="00000000">
      <w:pPr>
        <w:spacing w:before="60" w:after="120" w:line="360" w:lineRule="auto"/>
      </w:pPr>
      <w:r>
        <w:rPr>
          <w:rFonts w:ascii="Calibri" w:eastAsia="Calibri" w:hAnsi="Calibri" w:cs="Calibri"/>
          <w:color w:val="000000"/>
          <w:sz w:val="22"/>
          <w:szCs w:val="22"/>
        </w:rPr>
        <w:t>The following escalation rules apply to AI-impersonation risk signals, in addition to the general risk band thresholds established in Section 5.2:</w:t>
      </w:r>
    </w:p>
    <w:p w14:paraId="557A8AC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 high AI-impersonation risk signal on any single control in Section 7.3 shall automatically elevate the applicant or session to the next higher verification tier, regardless of the composite risk band.</w:t>
      </w:r>
    </w:p>
    <w:p w14:paraId="592A699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High AI-impersonation signals on two or more controls in Section 7.3 shall automatically trigger Tier 3 (High Assurance) verification requirements and mandatory human reviewer involvement.</w:t>
      </w:r>
    </w:p>
    <w:p w14:paraId="4B212D9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Confirmed AI impersonation — defined as affirmative evidence that a non-human agent completed or attempted to complete a designated interaction — shall result in application denial, account restriction, and mandatory SAR evaluation.</w:t>
      </w:r>
    </w:p>
    <w:p w14:paraId="52DE664C" w14:textId="77777777" w:rsidR="0018469C" w:rsidRDefault="00000000">
      <w:pPr>
        <w:pStyle w:val="Heading3"/>
        <w:spacing w:before="240" w:after="80" w:line="312" w:lineRule="auto"/>
      </w:pPr>
      <w:r>
        <w:rPr>
          <w:rFonts w:ascii="Calibri" w:eastAsia="Calibri" w:hAnsi="Calibri" w:cs="Calibri"/>
          <w:color w:val="1A1A1A"/>
          <w:sz w:val="24"/>
          <w:szCs w:val="24"/>
        </w:rPr>
        <w:t>7.5   Vendor AI Attestation Requirements</w:t>
      </w:r>
    </w:p>
    <w:p w14:paraId="39076227" w14:textId="77777777" w:rsidR="0018469C" w:rsidRDefault="00000000">
      <w:pPr>
        <w:spacing w:before="60" w:after="120" w:line="360" w:lineRule="auto"/>
      </w:pPr>
      <w:r>
        <w:rPr>
          <w:rFonts w:ascii="Calibri" w:eastAsia="Calibri" w:hAnsi="Calibri" w:cs="Calibri"/>
          <w:color w:val="000000"/>
          <w:sz w:val="22"/>
          <w:szCs w:val="22"/>
        </w:rPr>
        <w:t>All third-party identity verification vendors providing liveness detection, document authentication, behavioral biometric analysis, or device attestation services to the institution must satisfy the following requirements as a condition of contract award and continuation:</w:t>
      </w:r>
    </w:p>
    <w:p w14:paraId="6B4D4543"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Provide annual written attestation that their liveness detection, document authentication, and related systems have been red-team tested against current generative AI and deepfake attack vectors, </w:t>
      </w:r>
      <w:proofErr w:type="gramStart"/>
      <w:r>
        <w:rPr>
          <w:rFonts w:ascii="Calibri" w:eastAsia="Calibri" w:hAnsi="Calibri" w:cs="Calibri"/>
          <w:color w:val="000000"/>
          <w:sz w:val="22"/>
          <w:szCs w:val="22"/>
        </w:rPr>
        <w:t>including:</w:t>
      </w:r>
      <w:proofErr w:type="gramEnd"/>
      <w:r>
        <w:rPr>
          <w:rFonts w:ascii="Calibri" w:eastAsia="Calibri" w:hAnsi="Calibri" w:cs="Calibri"/>
          <w:color w:val="000000"/>
          <w:sz w:val="22"/>
          <w:szCs w:val="22"/>
        </w:rPr>
        <w:t xml:space="preserve"> diffusion model-generated imagery, voice synthesis and cloning attacks, 3D presentation attacks, and injection-based attacks;</w:t>
      </w:r>
    </w:p>
    <w:p w14:paraId="0E67060B"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Disclose any material changes to models, thresholds, detection capabilities, or scoring methodologies within thirty (30) calendar days of implementation;</w:t>
      </w:r>
    </w:p>
    <w:p w14:paraId="215F7A49"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lastRenderedPageBreak/>
        <w:t xml:space="preserve">Contractually commit to maintaining parity with the state of AI-enabled fraud attack capabilities as reflected in published threat intelligence, and to notifying the institution within ten (10) business days of the identification of a </w:t>
      </w:r>
      <w:proofErr w:type="gramStart"/>
      <w:r>
        <w:rPr>
          <w:rFonts w:ascii="Calibri" w:eastAsia="Calibri" w:hAnsi="Calibri" w:cs="Calibri"/>
          <w:color w:val="000000"/>
          <w:sz w:val="22"/>
          <w:szCs w:val="22"/>
        </w:rPr>
        <w:t>material new</w:t>
      </w:r>
      <w:proofErr w:type="gramEnd"/>
      <w:r>
        <w:rPr>
          <w:rFonts w:ascii="Calibri" w:eastAsia="Calibri" w:hAnsi="Calibri" w:cs="Calibri"/>
          <w:color w:val="000000"/>
          <w:sz w:val="22"/>
          <w:szCs w:val="22"/>
        </w:rPr>
        <w:t xml:space="preserve"> attack vector affecting their systems;</w:t>
      </w:r>
    </w:p>
    <w:p w14:paraId="66E31563"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Submit to the institution's Third-Party Risk Management review process, including technical control assessments, no less frequently than annually;</w:t>
      </w:r>
    </w:p>
    <w:p w14:paraId="30B8731F"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Authorize the institution's Internal Audit function to conduct independent testing of vendor-provided controls, including AI impersonation red-team exercises, on reasonable notice.</w:t>
      </w:r>
    </w:p>
    <w:p w14:paraId="2F254547" w14:textId="77777777" w:rsidR="0018469C" w:rsidRDefault="00000000">
      <w:pPr>
        <w:pStyle w:val="Heading3"/>
        <w:spacing w:before="240" w:after="80" w:line="312" w:lineRule="auto"/>
      </w:pPr>
      <w:r>
        <w:rPr>
          <w:rFonts w:ascii="Calibri" w:eastAsia="Calibri" w:hAnsi="Calibri" w:cs="Calibri"/>
          <w:color w:val="1A1A1A"/>
          <w:sz w:val="24"/>
          <w:szCs w:val="24"/>
        </w:rPr>
        <w:t>7.6   Customer-Authorized Agent Framework (Future State)</w:t>
      </w:r>
    </w:p>
    <w:p w14:paraId="43DF868A" w14:textId="77777777" w:rsidR="0018469C" w:rsidRDefault="00000000">
      <w:pPr>
        <w:spacing w:before="60" w:after="120" w:line="360" w:lineRule="auto"/>
      </w:pPr>
      <w:r>
        <w:rPr>
          <w:rFonts w:ascii="Calibri" w:eastAsia="Calibri" w:hAnsi="Calibri" w:cs="Calibri"/>
          <w:color w:val="000000"/>
          <w:sz w:val="22"/>
          <w:szCs w:val="22"/>
        </w:rPr>
        <w:t>The institution acknowledges the legitimate and growing use of agentic AI systems by customers as personal financial management tools, and recognizes that a regulatory and operational framework accommodating disclosed, scoped, and permissioned AI-assisted banking will serve customer needs while preserving identity integrity.</w:t>
      </w:r>
    </w:p>
    <w:p w14:paraId="71393C7D" w14:textId="77777777" w:rsidR="0018469C" w:rsidRDefault="00000000">
      <w:pPr>
        <w:spacing w:before="60" w:after="120" w:line="360" w:lineRule="auto"/>
      </w:pPr>
      <w:r>
        <w:rPr>
          <w:rFonts w:ascii="Calibri" w:eastAsia="Calibri" w:hAnsi="Calibri" w:cs="Calibri"/>
          <w:color w:val="000000"/>
          <w:sz w:val="22"/>
          <w:szCs w:val="22"/>
        </w:rPr>
        <w:t xml:space="preserve">The institution is currently evaluating the design and implementation of a formal </w:t>
      </w:r>
      <w:r>
        <w:rPr>
          <w:rFonts w:ascii="Calibri" w:eastAsia="Calibri" w:hAnsi="Calibri" w:cs="Calibri"/>
          <w:b/>
          <w:bCs/>
          <w:color w:val="000000"/>
          <w:sz w:val="22"/>
          <w:szCs w:val="22"/>
        </w:rPr>
        <w:t>Customer-Authorized AI Agent Registry</w:t>
      </w:r>
      <w:r>
        <w:rPr>
          <w:rFonts w:ascii="Calibri" w:eastAsia="Calibri" w:hAnsi="Calibri" w:cs="Calibri"/>
          <w:color w:val="000000"/>
          <w:sz w:val="22"/>
          <w:szCs w:val="22"/>
        </w:rPr>
        <w:t>, which would permit customers to pre-register specific trusted agentic AI systems and grant them defined, revocable, scoped permissions for designated account actions (e.g., balance inquiries, payment scheduling within approved limits), subject to robust identity verification of the authorizing human customer and ongoing monitoring of agent behavior.</w:t>
      </w:r>
    </w:p>
    <w:p w14:paraId="3BD277E1" w14:textId="77777777" w:rsidR="0018469C" w:rsidRDefault="00000000">
      <w:pPr>
        <w:spacing w:before="60" w:after="120" w:line="360" w:lineRule="auto"/>
      </w:pPr>
      <w:r>
        <w:rPr>
          <w:rFonts w:ascii="Calibri" w:eastAsia="Calibri" w:hAnsi="Calibri" w:cs="Calibri"/>
          <w:color w:val="000000"/>
          <w:sz w:val="22"/>
          <w:szCs w:val="22"/>
        </w:rPr>
        <w:t>Until such a framework is formally adopted, published, and operationally implemented, all interactions involving agentic AI systems remain subject to the full human presence requirements and AI impersonation controls set forth in this Section 7.0. The institution anticipates that any Customer-Authorized AI Agent framework will require Board approval and regulatory notification prior to implementation.</w:t>
      </w:r>
    </w:p>
    <w:p w14:paraId="144DBEF1" w14:textId="77777777" w:rsidR="0018469C" w:rsidRDefault="0018469C">
      <w:pPr>
        <w:pBdr>
          <w:bottom w:val="single" w:sz="6" w:space="0" w:color="000000"/>
        </w:pBdr>
        <w:spacing w:before="240" w:after="240"/>
      </w:pPr>
    </w:p>
    <w:p w14:paraId="05A2F2FB" w14:textId="77777777" w:rsidR="0018469C" w:rsidRDefault="00000000">
      <w:pPr>
        <w:pStyle w:val="Heading2"/>
        <w:spacing w:before="360" w:after="100" w:line="312" w:lineRule="auto"/>
      </w:pPr>
      <w:r>
        <w:rPr>
          <w:rFonts w:ascii="Calibri" w:eastAsia="Calibri" w:hAnsi="Calibri" w:cs="Calibri"/>
          <w:color w:val="1A1A1A"/>
          <w:sz w:val="28"/>
          <w:szCs w:val="28"/>
        </w:rPr>
        <w:t>8.0   Governance and Accountability</w:t>
      </w:r>
    </w:p>
    <w:p w14:paraId="575028FA" w14:textId="77777777" w:rsidR="0018469C" w:rsidRDefault="0018469C">
      <w:pPr>
        <w:pBdr>
          <w:top w:val="single" w:sz="6" w:space="0" w:color="2B5797"/>
        </w:pBdr>
        <w:spacing w:after="200"/>
      </w:pPr>
    </w:p>
    <w:p w14:paraId="3940D597" w14:textId="77777777" w:rsidR="0018469C" w:rsidRDefault="00000000">
      <w:pPr>
        <w:pStyle w:val="Heading3"/>
        <w:spacing w:before="240" w:after="80" w:line="312" w:lineRule="auto"/>
      </w:pPr>
      <w:r>
        <w:rPr>
          <w:rFonts w:ascii="Calibri" w:eastAsia="Calibri" w:hAnsi="Calibri" w:cs="Calibri"/>
          <w:color w:val="1A1A1A"/>
          <w:sz w:val="24"/>
          <w:szCs w:val="24"/>
        </w:rPr>
        <w:t>8.1   Policy Ownership</w:t>
      </w:r>
    </w:p>
    <w:p w14:paraId="074EC25F" w14:textId="77777777" w:rsidR="0018469C" w:rsidRDefault="00000000">
      <w:pPr>
        <w:spacing w:before="60" w:after="120" w:line="360" w:lineRule="auto"/>
      </w:pPr>
      <w:r>
        <w:rPr>
          <w:rFonts w:ascii="Calibri" w:eastAsia="Calibri" w:hAnsi="Calibri" w:cs="Calibri"/>
          <w:color w:val="000000"/>
          <w:sz w:val="22"/>
          <w:szCs w:val="22"/>
        </w:rPr>
        <w:t xml:space="preserve">The </w:t>
      </w:r>
      <w:r>
        <w:rPr>
          <w:rFonts w:ascii="Calibri" w:eastAsia="Calibri" w:hAnsi="Calibri" w:cs="Calibri"/>
          <w:b/>
          <w:bCs/>
          <w:color w:val="000000"/>
          <w:sz w:val="22"/>
          <w:szCs w:val="22"/>
        </w:rPr>
        <w:t>Chief Compliance Officer (CCO)</w:t>
      </w:r>
      <w:r>
        <w:rPr>
          <w:rFonts w:ascii="Calibri" w:eastAsia="Calibri" w:hAnsi="Calibri" w:cs="Calibri"/>
          <w:color w:val="000000"/>
          <w:sz w:val="22"/>
          <w:szCs w:val="22"/>
        </w:rPr>
        <w:t xml:space="preserve"> is the designated owner of this policy and bears primary responsibility for its maintenance, implementation oversight, and regulatory currency. The CCO shall conduct a formal annual review of this policy, coordinate any required updates, and present a policy </w:t>
      </w:r>
      <w:r>
        <w:rPr>
          <w:rFonts w:ascii="Calibri" w:eastAsia="Calibri" w:hAnsi="Calibri" w:cs="Calibri"/>
          <w:color w:val="000000"/>
          <w:sz w:val="22"/>
          <w:szCs w:val="22"/>
        </w:rPr>
        <w:lastRenderedPageBreak/>
        <w:t>compliance attestation to the Board of Directors / Risk Committee on an annual basis or more frequently as circumstances require.</w:t>
      </w:r>
    </w:p>
    <w:p w14:paraId="7383790C" w14:textId="77777777" w:rsidR="0018469C" w:rsidRDefault="00000000">
      <w:pPr>
        <w:pStyle w:val="Heading3"/>
        <w:spacing w:before="240" w:after="80" w:line="312" w:lineRule="auto"/>
      </w:pPr>
      <w:r>
        <w:rPr>
          <w:rFonts w:ascii="Calibri" w:eastAsia="Calibri" w:hAnsi="Calibri" w:cs="Calibri"/>
          <w:color w:val="1A1A1A"/>
          <w:sz w:val="24"/>
          <w:szCs w:val="24"/>
        </w:rPr>
        <w:t>8.2   Roles and Responsibilities</w:t>
      </w:r>
    </w:p>
    <w:p w14:paraId="15C7A697" w14:textId="77777777" w:rsidR="0018469C" w:rsidRDefault="0018469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1776"/>
        <w:gridCol w:w="7574"/>
      </w:tblGrid>
      <w:tr w:rsidR="0018469C" w14:paraId="66F2244E" w14:textId="77777777">
        <w:trPr>
          <w:tblHeader/>
        </w:trPr>
        <w:tc>
          <w:tcPr>
            <w:tcW w:w="950" w:type="pct"/>
            <w:shd w:val="clear" w:color="auto" w:fill="E8EEF7"/>
            <w:tcMar>
              <w:top w:w="90" w:type="dxa"/>
              <w:left w:w="135" w:type="dxa"/>
              <w:bottom w:w="90" w:type="dxa"/>
              <w:right w:w="135" w:type="dxa"/>
            </w:tcMar>
          </w:tcPr>
          <w:p w14:paraId="274EB19E" w14:textId="77777777" w:rsidR="0018469C" w:rsidRDefault="00000000">
            <w:r>
              <w:rPr>
                <w:rFonts w:ascii="Calibri" w:eastAsia="Calibri" w:hAnsi="Calibri" w:cs="Calibri"/>
                <w:b/>
                <w:bCs/>
                <w:color w:val="000000"/>
                <w:sz w:val="20"/>
                <w:szCs w:val="20"/>
              </w:rPr>
              <w:t>Role</w:t>
            </w:r>
          </w:p>
        </w:tc>
        <w:tc>
          <w:tcPr>
            <w:tcW w:w="4050" w:type="pct"/>
            <w:shd w:val="clear" w:color="auto" w:fill="E8EEF7"/>
            <w:tcMar>
              <w:top w:w="90" w:type="dxa"/>
              <w:left w:w="135" w:type="dxa"/>
              <w:bottom w:w="90" w:type="dxa"/>
              <w:right w:w="135" w:type="dxa"/>
            </w:tcMar>
          </w:tcPr>
          <w:p w14:paraId="1100CE2C" w14:textId="77777777" w:rsidR="0018469C" w:rsidRDefault="00000000">
            <w:r>
              <w:rPr>
                <w:rFonts w:ascii="Calibri" w:eastAsia="Calibri" w:hAnsi="Calibri" w:cs="Calibri"/>
                <w:b/>
                <w:bCs/>
                <w:color w:val="000000"/>
                <w:sz w:val="20"/>
                <w:szCs w:val="20"/>
              </w:rPr>
              <w:t>Responsibilities</w:t>
            </w:r>
          </w:p>
        </w:tc>
      </w:tr>
      <w:tr w:rsidR="0018469C" w14:paraId="1CA1FAB0" w14:textId="77777777">
        <w:tc>
          <w:tcPr>
            <w:tcW w:w="950" w:type="pct"/>
            <w:tcMar>
              <w:top w:w="90" w:type="dxa"/>
              <w:left w:w="135" w:type="dxa"/>
              <w:bottom w:w="90" w:type="dxa"/>
              <w:right w:w="135" w:type="dxa"/>
            </w:tcMar>
          </w:tcPr>
          <w:p w14:paraId="7267B89F" w14:textId="77777777" w:rsidR="0018469C" w:rsidRDefault="00000000">
            <w:r>
              <w:rPr>
                <w:rFonts w:ascii="Calibri" w:eastAsia="Calibri" w:hAnsi="Calibri" w:cs="Calibri"/>
                <w:b/>
                <w:bCs/>
                <w:color w:val="000000"/>
                <w:sz w:val="22"/>
                <w:szCs w:val="22"/>
              </w:rPr>
              <w:t>Board of Directors / Risk Committee</w:t>
            </w:r>
          </w:p>
        </w:tc>
        <w:tc>
          <w:tcPr>
            <w:tcW w:w="4050" w:type="pct"/>
            <w:tcMar>
              <w:top w:w="90" w:type="dxa"/>
              <w:left w:w="135" w:type="dxa"/>
              <w:bottom w:w="90" w:type="dxa"/>
              <w:right w:w="135" w:type="dxa"/>
            </w:tcMar>
          </w:tcPr>
          <w:p w14:paraId="1022A85F" w14:textId="77777777" w:rsidR="0018469C" w:rsidRDefault="00000000">
            <w:r>
              <w:rPr>
                <w:rFonts w:ascii="Calibri" w:eastAsia="Calibri" w:hAnsi="Calibri" w:cs="Calibri"/>
                <w:color w:val="000000"/>
                <w:sz w:val="20"/>
                <w:szCs w:val="20"/>
              </w:rPr>
              <w:t>Policy approval and periodic re-approval; risk appetite setting for KYC and AI impersonation risk; annual attestation of policy compliance; receipt of Internal Audit KYC program review results; oversight of material findings and corrective action plans</w:t>
            </w:r>
          </w:p>
        </w:tc>
      </w:tr>
      <w:tr w:rsidR="0018469C" w14:paraId="275702D8" w14:textId="77777777">
        <w:tc>
          <w:tcPr>
            <w:tcW w:w="950" w:type="pct"/>
            <w:tcMar>
              <w:top w:w="90" w:type="dxa"/>
              <w:left w:w="135" w:type="dxa"/>
              <w:bottom w:w="90" w:type="dxa"/>
              <w:right w:w="135" w:type="dxa"/>
            </w:tcMar>
          </w:tcPr>
          <w:p w14:paraId="0D1AF1EE" w14:textId="77777777" w:rsidR="0018469C" w:rsidRDefault="00000000">
            <w:r>
              <w:rPr>
                <w:rFonts w:ascii="Calibri" w:eastAsia="Calibri" w:hAnsi="Calibri" w:cs="Calibri"/>
                <w:b/>
                <w:bCs/>
                <w:color w:val="000000"/>
                <w:sz w:val="22"/>
                <w:szCs w:val="22"/>
              </w:rPr>
              <w:t>Chief Compliance Officer (CCO)</w:t>
            </w:r>
          </w:p>
        </w:tc>
        <w:tc>
          <w:tcPr>
            <w:tcW w:w="4050" w:type="pct"/>
            <w:tcMar>
              <w:top w:w="90" w:type="dxa"/>
              <w:left w:w="135" w:type="dxa"/>
              <w:bottom w:w="90" w:type="dxa"/>
              <w:right w:w="135" w:type="dxa"/>
            </w:tcMar>
          </w:tcPr>
          <w:p w14:paraId="5DBFEF95" w14:textId="77777777" w:rsidR="0018469C" w:rsidRDefault="00000000">
            <w:r>
              <w:rPr>
                <w:rFonts w:ascii="Calibri" w:eastAsia="Calibri" w:hAnsi="Calibri" w:cs="Calibri"/>
                <w:color w:val="000000"/>
                <w:sz w:val="20"/>
                <w:szCs w:val="20"/>
              </w:rPr>
              <w:t>Policy ownership, maintenance, and annual review; primary regulatory liaison for KYC, BSA/AML, and digital identity matters; joint approval of policy exceptions with CRO; board and risk committee reporting; oversight of Compliance Operations Team</w:t>
            </w:r>
          </w:p>
        </w:tc>
      </w:tr>
      <w:tr w:rsidR="0018469C" w14:paraId="527DD583" w14:textId="77777777">
        <w:tc>
          <w:tcPr>
            <w:tcW w:w="950" w:type="pct"/>
            <w:tcMar>
              <w:top w:w="90" w:type="dxa"/>
              <w:left w:w="135" w:type="dxa"/>
              <w:bottom w:w="90" w:type="dxa"/>
              <w:right w:w="135" w:type="dxa"/>
            </w:tcMar>
          </w:tcPr>
          <w:p w14:paraId="5014D888" w14:textId="77777777" w:rsidR="0018469C" w:rsidRDefault="00000000">
            <w:r>
              <w:rPr>
                <w:rFonts w:ascii="Calibri" w:eastAsia="Calibri" w:hAnsi="Calibri" w:cs="Calibri"/>
                <w:b/>
                <w:bCs/>
                <w:color w:val="000000"/>
                <w:sz w:val="22"/>
                <w:szCs w:val="22"/>
              </w:rPr>
              <w:t>Chief Information Security Officer (CISO)</w:t>
            </w:r>
          </w:p>
        </w:tc>
        <w:tc>
          <w:tcPr>
            <w:tcW w:w="4050" w:type="pct"/>
            <w:tcMar>
              <w:top w:w="90" w:type="dxa"/>
              <w:left w:w="135" w:type="dxa"/>
              <w:bottom w:w="90" w:type="dxa"/>
              <w:right w:w="135" w:type="dxa"/>
            </w:tcMar>
          </w:tcPr>
          <w:p w14:paraId="4AC3BEDC" w14:textId="77777777" w:rsidR="0018469C" w:rsidRDefault="00000000">
            <w:r>
              <w:rPr>
                <w:rFonts w:ascii="Calibri" w:eastAsia="Calibri" w:hAnsi="Calibri" w:cs="Calibri"/>
                <w:color w:val="000000"/>
                <w:sz w:val="20"/>
                <w:szCs w:val="20"/>
              </w:rPr>
              <w:t>Design, implementation, and ongoing testing of AI detection controls specified in Section 7.0; oversight of biometric and device attestation vendor technical performance; red-team exercise design and execution; injection attack detection control maintenance; model version change logging</w:t>
            </w:r>
          </w:p>
        </w:tc>
      </w:tr>
      <w:tr w:rsidR="0018469C" w14:paraId="59FA6453" w14:textId="77777777">
        <w:tc>
          <w:tcPr>
            <w:tcW w:w="950" w:type="pct"/>
            <w:tcMar>
              <w:top w:w="90" w:type="dxa"/>
              <w:left w:w="135" w:type="dxa"/>
              <w:bottom w:w="90" w:type="dxa"/>
              <w:right w:w="135" w:type="dxa"/>
            </w:tcMar>
          </w:tcPr>
          <w:p w14:paraId="4074E964" w14:textId="77777777" w:rsidR="0018469C" w:rsidRDefault="00000000">
            <w:r>
              <w:rPr>
                <w:rFonts w:ascii="Calibri" w:eastAsia="Calibri" w:hAnsi="Calibri" w:cs="Calibri"/>
                <w:b/>
                <w:bCs/>
                <w:color w:val="000000"/>
                <w:sz w:val="22"/>
                <w:szCs w:val="22"/>
              </w:rPr>
              <w:t>BSA/AML Officer</w:t>
            </w:r>
          </w:p>
        </w:tc>
        <w:tc>
          <w:tcPr>
            <w:tcW w:w="4050" w:type="pct"/>
            <w:tcMar>
              <w:top w:w="90" w:type="dxa"/>
              <w:left w:w="135" w:type="dxa"/>
              <w:bottom w:w="90" w:type="dxa"/>
              <w:right w:w="135" w:type="dxa"/>
            </w:tcMar>
          </w:tcPr>
          <w:p w14:paraId="602A8342" w14:textId="77777777" w:rsidR="0018469C" w:rsidRDefault="00000000">
            <w:r>
              <w:rPr>
                <w:rFonts w:ascii="Calibri" w:eastAsia="Calibri" w:hAnsi="Calibri" w:cs="Calibri"/>
                <w:color w:val="000000"/>
                <w:sz w:val="20"/>
                <w:szCs w:val="20"/>
              </w:rPr>
              <w:t>Transaction monitoring program oversight; SAR filing and quality assurance; FinCEN liaison; establishment and maintenance of risk-based transaction threshold schedules; adverse media and sanctions screening SLA management</w:t>
            </w:r>
          </w:p>
        </w:tc>
      </w:tr>
      <w:tr w:rsidR="0018469C" w14:paraId="094C05A9" w14:textId="77777777">
        <w:tc>
          <w:tcPr>
            <w:tcW w:w="950" w:type="pct"/>
            <w:tcMar>
              <w:top w:w="90" w:type="dxa"/>
              <w:left w:w="135" w:type="dxa"/>
              <w:bottom w:w="90" w:type="dxa"/>
              <w:right w:w="135" w:type="dxa"/>
            </w:tcMar>
          </w:tcPr>
          <w:p w14:paraId="75E7ACD3" w14:textId="77777777" w:rsidR="0018469C" w:rsidRDefault="00000000">
            <w:r>
              <w:rPr>
                <w:rFonts w:ascii="Calibri" w:eastAsia="Calibri" w:hAnsi="Calibri" w:cs="Calibri"/>
                <w:b/>
                <w:bCs/>
                <w:color w:val="000000"/>
                <w:sz w:val="22"/>
                <w:szCs w:val="22"/>
              </w:rPr>
              <w:t>Chief Risk Officer (CRO)</w:t>
            </w:r>
          </w:p>
        </w:tc>
        <w:tc>
          <w:tcPr>
            <w:tcW w:w="4050" w:type="pct"/>
            <w:tcMar>
              <w:top w:w="90" w:type="dxa"/>
              <w:left w:w="135" w:type="dxa"/>
              <w:bottom w:w="90" w:type="dxa"/>
              <w:right w:w="135" w:type="dxa"/>
            </w:tcMar>
          </w:tcPr>
          <w:p w14:paraId="53DE1156" w14:textId="77777777" w:rsidR="0018469C" w:rsidRDefault="00000000">
            <w:r>
              <w:rPr>
                <w:rFonts w:ascii="Calibri" w:eastAsia="Calibri" w:hAnsi="Calibri" w:cs="Calibri"/>
                <w:color w:val="000000"/>
                <w:sz w:val="20"/>
                <w:szCs w:val="20"/>
              </w:rPr>
              <w:t>Enterprise risk integration for KYC and AI impersonation risk; third-party AI vendor risk management program oversight; joint approval of policy exceptions with CCO; Risk Committee reporting on KYC risk indicators</w:t>
            </w:r>
          </w:p>
        </w:tc>
      </w:tr>
      <w:tr w:rsidR="0018469C" w14:paraId="7C8B80A0" w14:textId="77777777">
        <w:tc>
          <w:tcPr>
            <w:tcW w:w="950" w:type="pct"/>
            <w:tcMar>
              <w:top w:w="90" w:type="dxa"/>
              <w:left w:w="135" w:type="dxa"/>
              <w:bottom w:w="90" w:type="dxa"/>
              <w:right w:w="135" w:type="dxa"/>
            </w:tcMar>
          </w:tcPr>
          <w:p w14:paraId="4481C9B5" w14:textId="77777777" w:rsidR="0018469C" w:rsidRDefault="00000000">
            <w:r>
              <w:rPr>
                <w:rFonts w:ascii="Calibri" w:eastAsia="Calibri" w:hAnsi="Calibri" w:cs="Calibri"/>
                <w:b/>
                <w:bCs/>
                <w:color w:val="000000"/>
                <w:sz w:val="22"/>
                <w:szCs w:val="22"/>
              </w:rPr>
              <w:t>Compliance Operations Team</w:t>
            </w:r>
          </w:p>
        </w:tc>
        <w:tc>
          <w:tcPr>
            <w:tcW w:w="4050" w:type="pct"/>
            <w:tcMar>
              <w:top w:w="90" w:type="dxa"/>
              <w:left w:w="135" w:type="dxa"/>
              <w:bottom w:w="90" w:type="dxa"/>
              <w:right w:w="135" w:type="dxa"/>
            </w:tcMar>
          </w:tcPr>
          <w:p w14:paraId="42241020" w14:textId="77777777" w:rsidR="0018469C" w:rsidRDefault="00000000">
            <w:r>
              <w:rPr>
                <w:rFonts w:ascii="Calibri" w:eastAsia="Calibri" w:hAnsi="Calibri" w:cs="Calibri"/>
                <w:color w:val="000000"/>
                <w:sz w:val="20"/>
                <w:szCs w:val="20"/>
              </w:rPr>
              <w:t>Day-to-day execution of CIP and CDD procedures; alert review and disposition; re-KYC workflow management; human review queue management; escalation to BSA/AML Officer; Policy Exception Register maintenance</w:t>
            </w:r>
          </w:p>
        </w:tc>
      </w:tr>
      <w:tr w:rsidR="0018469C" w14:paraId="092E0D03" w14:textId="77777777">
        <w:tc>
          <w:tcPr>
            <w:tcW w:w="950" w:type="pct"/>
            <w:tcMar>
              <w:top w:w="90" w:type="dxa"/>
              <w:left w:w="135" w:type="dxa"/>
              <w:bottom w:w="90" w:type="dxa"/>
              <w:right w:w="135" w:type="dxa"/>
            </w:tcMar>
          </w:tcPr>
          <w:p w14:paraId="0ED274A3" w14:textId="77777777" w:rsidR="0018469C" w:rsidRDefault="00000000">
            <w:r>
              <w:rPr>
                <w:rFonts w:ascii="Calibri" w:eastAsia="Calibri" w:hAnsi="Calibri" w:cs="Calibri"/>
                <w:b/>
                <w:bCs/>
                <w:color w:val="000000"/>
                <w:sz w:val="22"/>
                <w:szCs w:val="22"/>
              </w:rPr>
              <w:t>Internal Audit</w:t>
            </w:r>
          </w:p>
        </w:tc>
        <w:tc>
          <w:tcPr>
            <w:tcW w:w="4050" w:type="pct"/>
            <w:tcMar>
              <w:top w:w="90" w:type="dxa"/>
              <w:left w:w="135" w:type="dxa"/>
              <w:bottom w:w="90" w:type="dxa"/>
              <w:right w:w="135" w:type="dxa"/>
            </w:tcMar>
          </w:tcPr>
          <w:p w14:paraId="3AD14418" w14:textId="77777777" w:rsidR="0018469C" w:rsidRDefault="00000000">
            <w:r>
              <w:rPr>
                <w:rFonts w:ascii="Calibri" w:eastAsia="Calibri" w:hAnsi="Calibri" w:cs="Calibri"/>
                <w:color w:val="000000"/>
                <w:sz w:val="20"/>
                <w:szCs w:val="20"/>
              </w:rPr>
              <w:t>Independent annual review of KYC controls effectiveness; red-team testing including synthetic identity and deepfake attack simulations; AI detection control testing; SAR quality review; reporting of findings to Risk Committee with corrective action tracking</w:t>
            </w:r>
          </w:p>
        </w:tc>
      </w:tr>
      <w:tr w:rsidR="0018469C" w14:paraId="2969DF40" w14:textId="77777777">
        <w:tc>
          <w:tcPr>
            <w:tcW w:w="950" w:type="pct"/>
            <w:tcMar>
              <w:top w:w="90" w:type="dxa"/>
              <w:left w:w="135" w:type="dxa"/>
              <w:bottom w:w="90" w:type="dxa"/>
              <w:right w:w="135" w:type="dxa"/>
            </w:tcMar>
          </w:tcPr>
          <w:p w14:paraId="46B5D9B9" w14:textId="77777777" w:rsidR="0018469C" w:rsidRDefault="00000000">
            <w:r>
              <w:rPr>
                <w:rFonts w:ascii="Calibri" w:eastAsia="Calibri" w:hAnsi="Calibri" w:cs="Calibri"/>
                <w:b/>
                <w:bCs/>
                <w:color w:val="000000"/>
                <w:sz w:val="22"/>
                <w:szCs w:val="22"/>
              </w:rPr>
              <w:t>Legal Counsel</w:t>
            </w:r>
          </w:p>
        </w:tc>
        <w:tc>
          <w:tcPr>
            <w:tcW w:w="4050" w:type="pct"/>
            <w:tcMar>
              <w:top w:w="90" w:type="dxa"/>
              <w:left w:w="135" w:type="dxa"/>
              <w:bottom w:w="90" w:type="dxa"/>
              <w:right w:w="135" w:type="dxa"/>
            </w:tcMar>
          </w:tcPr>
          <w:p w14:paraId="496E596F" w14:textId="77777777" w:rsidR="0018469C" w:rsidRDefault="00000000">
            <w:r>
              <w:rPr>
                <w:rFonts w:ascii="Calibri" w:eastAsia="Calibri" w:hAnsi="Calibri" w:cs="Calibri"/>
                <w:color w:val="000000"/>
                <w:sz w:val="20"/>
                <w:szCs w:val="20"/>
              </w:rPr>
              <w:t>Regulatory interpretation and legal advice on KYC, BSA/AML, and AI governance requirements; support for enforcement actions and regulatory examinations; review of customer enforcement actions under Section 11.2; corporate transparency act compliance guidance</w:t>
            </w:r>
          </w:p>
        </w:tc>
      </w:tr>
    </w:tbl>
    <w:p w14:paraId="5DA6719D" w14:textId="77777777" w:rsidR="0018469C" w:rsidRDefault="0018469C">
      <w:pPr>
        <w:spacing w:after="200"/>
      </w:pPr>
    </w:p>
    <w:p w14:paraId="55618C4B" w14:textId="77777777" w:rsidR="0018469C" w:rsidRDefault="00000000">
      <w:pPr>
        <w:pStyle w:val="Heading3"/>
        <w:spacing w:before="240" w:after="80" w:line="312" w:lineRule="auto"/>
      </w:pPr>
      <w:r>
        <w:rPr>
          <w:rFonts w:ascii="Calibri" w:eastAsia="Calibri" w:hAnsi="Calibri" w:cs="Calibri"/>
          <w:color w:val="1A1A1A"/>
          <w:sz w:val="24"/>
          <w:szCs w:val="24"/>
        </w:rPr>
        <w:t>8.3   Third-Party Risk Management</w:t>
      </w:r>
    </w:p>
    <w:p w14:paraId="1A50078B" w14:textId="77777777" w:rsidR="0018469C" w:rsidRDefault="00000000">
      <w:pPr>
        <w:spacing w:before="60" w:after="120" w:line="360" w:lineRule="auto"/>
      </w:pPr>
      <w:r>
        <w:rPr>
          <w:rFonts w:ascii="Calibri" w:eastAsia="Calibri" w:hAnsi="Calibri" w:cs="Calibri"/>
          <w:color w:val="000000"/>
          <w:sz w:val="22"/>
          <w:szCs w:val="22"/>
        </w:rPr>
        <w:t xml:space="preserve">All identity verification vendors, biometric solution providers, behavioral analytics platforms, device attestation service providers, and agentic AI detection technology providers engaged by the institution are subject to the institution's </w:t>
      </w:r>
      <w:r>
        <w:rPr>
          <w:rFonts w:ascii="Calibri" w:eastAsia="Calibri" w:hAnsi="Calibri" w:cs="Calibri"/>
          <w:b/>
          <w:bCs/>
          <w:color w:val="000000"/>
          <w:sz w:val="22"/>
          <w:szCs w:val="22"/>
        </w:rPr>
        <w:t>Third-Party Risk Management Policy</w:t>
      </w:r>
      <w:r>
        <w:rPr>
          <w:rFonts w:ascii="Calibri" w:eastAsia="Calibri" w:hAnsi="Calibri" w:cs="Calibri"/>
          <w:color w:val="000000"/>
          <w:sz w:val="22"/>
          <w:szCs w:val="22"/>
        </w:rPr>
        <w:t>. These vendors are classified as critical third parties for purposes of that policy.</w:t>
      </w:r>
    </w:p>
    <w:p w14:paraId="0B3E215D" w14:textId="77777777" w:rsidR="0018469C" w:rsidRDefault="00000000">
      <w:pPr>
        <w:spacing w:before="60" w:after="120" w:line="360" w:lineRule="auto"/>
      </w:pPr>
      <w:r>
        <w:rPr>
          <w:rFonts w:ascii="Calibri" w:eastAsia="Calibri" w:hAnsi="Calibri" w:cs="Calibri"/>
          <w:color w:val="000000"/>
          <w:sz w:val="22"/>
          <w:szCs w:val="22"/>
        </w:rPr>
        <w:lastRenderedPageBreak/>
        <w:t xml:space="preserve">The institution maintains a </w:t>
      </w:r>
      <w:r>
        <w:rPr>
          <w:rFonts w:ascii="Calibri" w:eastAsia="Calibri" w:hAnsi="Calibri" w:cs="Calibri"/>
          <w:b/>
          <w:bCs/>
          <w:color w:val="000000"/>
          <w:sz w:val="22"/>
          <w:szCs w:val="22"/>
        </w:rPr>
        <w:t>KYC Vendor Oversight Program</w:t>
      </w:r>
      <w:r>
        <w:rPr>
          <w:rFonts w:ascii="Calibri" w:eastAsia="Calibri" w:hAnsi="Calibri" w:cs="Calibri"/>
          <w:color w:val="000000"/>
          <w:sz w:val="22"/>
          <w:szCs w:val="22"/>
        </w:rPr>
        <w:t>, administered by the CRO in coordination with the CISO and CCO, which conducts quarterly reviews of vendor performance against contracted service levels, model drift and detection degradation indicators, incident reports involving AI or deepfake attack vectors, and coverage of emerging threat categories. Quarterly review findings are reported to the Risk Committee.</w:t>
      </w:r>
    </w:p>
    <w:p w14:paraId="6992934C" w14:textId="77777777" w:rsidR="0018469C" w:rsidRDefault="00000000">
      <w:pPr>
        <w:pStyle w:val="Heading3"/>
        <w:spacing w:before="240" w:after="80" w:line="312" w:lineRule="auto"/>
      </w:pPr>
      <w:r>
        <w:rPr>
          <w:rFonts w:ascii="Calibri" w:eastAsia="Calibri" w:hAnsi="Calibri" w:cs="Calibri"/>
          <w:color w:val="1A1A1A"/>
          <w:sz w:val="24"/>
          <w:szCs w:val="24"/>
        </w:rPr>
        <w:t>8.4   Training</w:t>
      </w:r>
    </w:p>
    <w:p w14:paraId="3729B263" w14:textId="77777777" w:rsidR="0018469C" w:rsidRDefault="00000000">
      <w:pPr>
        <w:spacing w:before="60" w:after="120" w:line="360" w:lineRule="auto"/>
      </w:pPr>
      <w:r>
        <w:rPr>
          <w:rFonts w:ascii="Calibri" w:eastAsia="Calibri" w:hAnsi="Calibri" w:cs="Calibri"/>
          <w:color w:val="000000"/>
          <w:sz w:val="22"/>
          <w:szCs w:val="22"/>
        </w:rPr>
        <w:t>All bank personnel with KYC-related responsibilities — including, without limitation, compliance operations staff, BSA/AML analysts, customer-facing onboarding personnel, technology teams, and vendor relationship managers — must complete annual training that covers, at minimum:</w:t>
      </w:r>
    </w:p>
    <w:p w14:paraId="55AD496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CIP and CDD legal obligations and the institution's implementing procedures;</w:t>
      </w:r>
    </w:p>
    <w:p w14:paraId="73E581D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AI impersonation threat landscape, including current deepfake and synthetic identity attack typologies;</w:t>
      </w:r>
    </w:p>
    <w:p w14:paraId="46B28F90"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Recognition of agentic AI interaction indicators in customer-facing workflows;</w:t>
      </w:r>
    </w:p>
    <w:p w14:paraId="4B3A505E"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Escalation procedures and human review queue protocols;</w:t>
      </w:r>
    </w:p>
    <w:p w14:paraId="172A03D0"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SAR filing obligations, including thresholds, timelines, and confidentiality requirements.</w:t>
      </w:r>
    </w:p>
    <w:p w14:paraId="41E0F7FD" w14:textId="77777777" w:rsidR="0018469C" w:rsidRDefault="00000000">
      <w:pPr>
        <w:spacing w:before="60" w:after="120" w:line="360" w:lineRule="auto"/>
      </w:pPr>
      <w:r>
        <w:rPr>
          <w:rFonts w:ascii="Calibri" w:eastAsia="Calibri" w:hAnsi="Calibri" w:cs="Calibri"/>
          <w:color w:val="000000"/>
          <w:sz w:val="22"/>
          <w:szCs w:val="22"/>
        </w:rPr>
        <w:t>New personnel with KYC responsibilities must complete the full training curriculum within thirty (30) calendar days of their start date. Training completion must be documented and reported to the CCO. Annual training attestations must be maintained for a minimum of five (5) years.</w:t>
      </w:r>
    </w:p>
    <w:p w14:paraId="6E966BF1" w14:textId="77777777" w:rsidR="0018469C" w:rsidRDefault="0018469C">
      <w:pPr>
        <w:pBdr>
          <w:bottom w:val="single" w:sz="6" w:space="0" w:color="000000"/>
        </w:pBdr>
        <w:spacing w:before="240" w:after="240"/>
      </w:pPr>
    </w:p>
    <w:p w14:paraId="1BB7DDE3" w14:textId="77777777" w:rsidR="0018469C" w:rsidRDefault="00000000">
      <w:pPr>
        <w:pStyle w:val="Heading2"/>
        <w:spacing w:before="360" w:after="100" w:line="312" w:lineRule="auto"/>
      </w:pPr>
      <w:r>
        <w:rPr>
          <w:rFonts w:ascii="Calibri" w:eastAsia="Calibri" w:hAnsi="Calibri" w:cs="Calibri"/>
          <w:color w:val="1A1A1A"/>
          <w:sz w:val="28"/>
          <w:szCs w:val="28"/>
        </w:rPr>
        <w:t>9.0   Auditability and Recordkeeping</w:t>
      </w:r>
    </w:p>
    <w:p w14:paraId="77C7FF24" w14:textId="77777777" w:rsidR="0018469C" w:rsidRDefault="0018469C">
      <w:pPr>
        <w:pBdr>
          <w:top w:val="single" w:sz="6" w:space="0" w:color="2B5797"/>
        </w:pBdr>
        <w:spacing w:after="200"/>
      </w:pPr>
    </w:p>
    <w:p w14:paraId="4E93F253" w14:textId="77777777" w:rsidR="0018469C" w:rsidRDefault="00000000">
      <w:pPr>
        <w:pStyle w:val="Heading3"/>
        <w:spacing w:before="240" w:after="80" w:line="312" w:lineRule="auto"/>
      </w:pPr>
      <w:r>
        <w:rPr>
          <w:rFonts w:ascii="Calibri" w:eastAsia="Calibri" w:hAnsi="Calibri" w:cs="Calibri"/>
          <w:color w:val="1A1A1A"/>
          <w:sz w:val="24"/>
          <w:szCs w:val="24"/>
        </w:rPr>
        <w:t>9.1   Evidence Preservation</w:t>
      </w:r>
    </w:p>
    <w:p w14:paraId="1CC449DF" w14:textId="77777777" w:rsidR="0018469C" w:rsidRDefault="00000000">
      <w:pPr>
        <w:spacing w:before="60" w:after="120" w:line="360" w:lineRule="auto"/>
      </w:pPr>
      <w:r>
        <w:rPr>
          <w:rFonts w:ascii="Calibri" w:eastAsia="Calibri" w:hAnsi="Calibri" w:cs="Calibri"/>
          <w:color w:val="000000"/>
          <w:sz w:val="22"/>
          <w:szCs w:val="22"/>
        </w:rPr>
        <w:t xml:space="preserve">For every account opening and every designated interaction as defined in Section 7.1, the institution shall assemble and preserve an </w:t>
      </w:r>
      <w:r>
        <w:rPr>
          <w:rFonts w:ascii="Calibri" w:eastAsia="Calibri" w:hAnsi="Calibri" w:cs="Calibri"/>
          <w:b/>
          <w:bCs/>
          <w:color w:val="000000"/>
          <w:sz w:val="22"/>
          <w:szCs w:val="22"/>
        </w:rPr>
        <w:t>immutable evidence package</w:t>
      </w:r>
      <w:r>
        <w:rPr>
          <w:rFonts w:ascii="Calibri" w:eastAsia="Calibri" w:hAnsi="Calibri" w:cs="Calibri"/>
          <w:color w:val="000000"/>
          <w:sz w:val="22"/>
          <w:szCs w:val="22"/>
        </w:rPr>
        <w:t xml:space="preserve"> containing, at minimum, the following elements:</w:t>
      </w:r>
    </w:p>
    <w:p w14:paraId="3152C32F"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All identity signals captured during the session, including raw input data and metadata;</w:t>
      </w:r>
    </w:p>
    <w:p w14:paraId="4F16AD60"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Individual signal scores for each of the five required signal classes under Section 5.1, along with any AI-impersonation risk signals generated under Section 7.3;</w:t>
      </w:r>
    </w:p>
    <w:p w14:paraId="34062AC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lastRenderedPageBreak/>
        <w:t>The composite risk score and the specific risk band to which the session was assigned;</w:t>
      </w:r>
    </w:p>
    <w:p w14:paraId="6BA39ACF"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identity disposition decision (approve, step-up, human review, or decline) and the complete decision rationale;</w:t>
      </w:r>
    </w:p>
    <w:p w14:paraId="7E76EFD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Identity verification vendor attestations and the specific model versions active at the time of the session;</w:t>
      </w:r>
    </w:p>
    <w:p w14:paraId="33DBA94D"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Human reviewer notes, disposition rationale, and reviewer identity, where a human review was conducted;</w:t>
      </w:r>
    </w:p>
    <w:p w14:paraId="0CFAD09C"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Complete session behavioral graph data as described in Section 7.3(f).</w:t>
      </w:r>
    </w:p>
    <w:p w14:paraId="0D2197CA" w14:textId="77777777" w:rsidR="0018469C" w:rsidRDefault="00000000">
      <w:pPr>
        <w:spacing w:before="60" w:after="120" w:line="360" w:lineRule="auto"/>
      </w:pPr>
      <w:r>
        <w:rPr>
          <w:rFonts w:ascii="Calibri" w:eastAsia="Calibri" w:hAnsi="Calibri" w:cs="Calibri"/>
          <w:color w:val="000000"/>
          <w:sz w:val="22"/>
          <w:szCs w:val="22"/>
        </w:rPr>
        <w:t>Evidence packages must be stored in a tamper-evident format with cryptographic integrity protection (e.g., hash-chained storage, write-once media, or equivalent controls) to ensure their admissibility in regulatory examinations, litigation, and law enforcement proceedings.</w:t>
      </w:r>
    </w:p>
    <w:p w14:paraId="5CC8CCD0" w14:textId="77777777" w:rsidR="0018469C" w:rsidRDefault="00000000">
      <w:pPr>
        <w:pStyle w:val="Heading3"/>
        <w:spacing w:before="240" w:after="80" w:line="312" w:lineRule="auto"/>
      </w:pPr>
      <w:r>
        <w:rPr>
          <w:rFonts w:ascii="Calibri" w:eastAsia="Calibri" w:hAnsi="Calibri" w:cs="Calibri"/>
          <w:color w:val="1A1A1A"/>
          <w:sz w:val="24"/>
          <w:szCs w:val="24"/>
        </w:rPr>
        <w:t>9.2   Retention Period</w:t>
      </w:r>
    </w:p>
    <w:p w14:paraId="1E663CC1" w14:textId="77777777" w:rsidR="0018469C" w:rsidRDefault="00000000">
      <w:pPr>
        <w:spacing w:before="60" w:after="120" w:line="360" w:lineRule="auto"/>
      </w:pPr>
      <w:r>
        <w:rPr>
          <w:rFonts w:ascii="Calibri" w:eastAsia="Calibri" w:hAnsi="Calibri" w:cs="Calibri"/>
          <w:color w:val="000000"/>
          <w:sz w:val="22"/>
          <w:szCs w:val="22"/>
        </w:rPr>
        <w:t xml:space="preserve">All KYC records — including CIP documentation, CDD records, identity verification evidence packages, and monitoring records — shall be maintained for a minimum of </w:t>
      </w:r>
      <w:r>
        <w:rPr>
          <w:rFonts w:ascii="Calibri" w:eastAsia="Calibri" w:hAnsi="Calibri" w:cs="Calibri"/>
          <w:b/>
          <w:bCs/>
          <w:color w:val="000000"/>
          <w:sz w:val="22"/>
          <w:szCs w:val="22"/>
        </w:rPr>
        <w:t>five (5) years</w:t>
      </w:r>
      <w:r>
        <w:rPr>
          <w:rFonts w:ascii="Calibri" w:eastAsia="Calibri" w:hAnsi="Calibri" w:cs="Calibri"/>
          <w:color w:val="000000"/>
          <w:sz w:val="22"/>
          <w:szCs w:val="22"/>
        </w:rPr>
        <w:t xml:space="preserve"> following the date of account closure, consistent with BSA recordkeeping requirements set forth in 31 CFR 1010.430.</w:t>
      </w:r>
    </w:p>
    <w:p w14:paraId="53356EE3" w14:textId="77777777" w:rsidR="0018469C" w:rsidRDefault="00000000">
      <w:pPr>
        <w:spacing w:before="60" w:after="120" w:line="360" w:lineRule="auto"/>
      </w:pPr>
      <w:r>
        <w:rPr>
          <w:rFonts w:ascii="Calibri" w:eastAsia="Calibri" w:hAnsi="Calibri" w:cs="Calibri"/>
          <w:color w:val="000000"/>
          <w:sz w:val="22"/>
          <w:szCs w:val="22"/>
        </w:rPr>
        <w:t xml:space="preserve">Records relating to AI impersonation-related incidents, confirmed or suspected, including associated SAR filings and investigation documentation, shall be retained for a minimum of </w:t>
      </w:r>
      <w:r>
        <w:rPr>
          <w:rFonts w:ascii="Calibri" w:eastAsia="Calibri" w:hAnsi="Calibri" w:cs="Calibri"/>
          <w:b/>
          <w:bCs/>
          <w:color w:val="000000"/>
          <w:sz w:val="22"/>
          <w:szCs w:val="22"/>
        </w:rPr>
        <w:t>seven (7) years</w:t>
      </w:r>
      <w:r>
        <w:rPr>
          <w:rFonts w:ascii="Calibri" w:eastAsia="Calibri" w:hAnsi="Calibri" w:cs="Calibri"/>
          <w:color w:val="000000"/>
          <w:sz w:val="22"/>
          <w:szCs w:val="22"/>
        </w:rPr>
        <w:t xml:space="preserve"> following the date of the incident or account closure, whichever is later.</w:t>
      </w:r>
    </w:p>
    <w:p w14:paraId="43EBCBD6" w14:textId="77777777" w:rsidR="0018469C" w:rsidRDefault="00000000">
      <w:pPr>
        <w:pStyle w:val="Heading3"/>
        <w:spacing w:before="240" w:after="80" w:line="312" w:lineRule="auto"/>
      </w:pPr>
      <w:r>
        <w:rPr>
          <w:rFonts w:ascii="Calibri" w:eastAsia="Calibri" w:hAnsi="Calibri" w:cs="Calibri"/>
          <w:color w:val="1A1A1A"/>
          <w:sz w:val="24"/>
          <w:szCs w:val="24"/>
        </w:rPr>
        <w:t>9.3   Audit Trail Requirements</w:t>
      </w:r>
    </w:p>
    <w:p w14:paraId="47F7B49F" w14:textId="77777777" w:rsidR="0018469C" w:rsidRDefault="00000000">
      <w:pPr>
        <w:spacing w:before="60" w:after="120" w:line="360" w:lineRule="auto"/>
      </w:pPr>
      <w:r>
        <w:rPr>
          <w:rFonts w:ascii="Calibri" w:eastAsia="Calibri" w:hAnsi="Calibri" w:cs="Calibri"/>
          <w:color w:val="000000"/>
          <w:sz w:val="22"/>
          <w:szCs w:val="22"/>
        </w:rPr>
        <w:t>All identity verification decisions — including decisions made through fully automated processes without human review — must produce a complete, timestamped audit trail that is traceable to:</w:t>
      </w:r>
    </w:p>
    <w:p w14:paraId="04D9167A"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specific version of each detection model and scoring algorithm active at the time of the decision;</w:t>
      </w:r>
    </w:p>
    <w:p w14:paraId="173FEA37"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signal inputs received from each signal class and their respective scores;</w:t>
      </w:r>
    </w:p>
    <w:p w14:paraId="0A08F3AF"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decision thresholds in effect at the time of the decision;</w:t>
      </w:r>
    </w:p>
    <w:p w14:paraId="147940CA"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The identity of any human reviewer involved in the disposition.</w:t>
      </w:r>
    </w:p>
    <w:p w14:paraId="0AB7526A" w14:textId="77777777" w:rsidR="0018469C" w:rsidRDefault="00000000">
      <w:pPr>
        <w:spacing w:before="60" w:after="120" w:line="360" w:lineRule="auto"/>
      </w:pPr>
      <w:r>
        <w:rPr>
          <w:rFonts w:ascii="Calibri" w:eastAsia="Calibri" w:hAnsi="Calibri" w:cs="Calibri"/>
          <w:color w:val="000000"/>
          <w:sz w:val="22"/>
          <w:szCs w:val="22"/>
        </w:rPr>
        <w:t xml:space="preserve">Any change to model versions, detection thresholds, or scoring algorithms must be logged in the </w:t>
      </w:r>
      <w:r>
        <w:rPr>
          <w:rFonts w:ascii="Calibri" w:eastAsia="Calibri" w:hAnsi="Calibri" w:cs="Calibri"/>
          <w:b/>
          <w:bCs/>
          <w:color w:val="000000"/>
          <w:sz w:val="22"/>
          <w:szCs w:val="22"/>
        </w:rPr>
        <w:t>Model and Threshold Change Log</w:t>
      </w:r>
      <w:r>
        <w:rPr>
          <w:rFonts w:ascii="Calibri" w:eastAsia="Calibri" w:hAnsi="Calibri" w:cs="Calibri"/>
          <w:color w:val="000000"/>
          <w:sz w:val="22"/>
          <w:szCs w:val="22"/>
        </w:rPr>
        <w:t xml:space="preserve">, maintained by the CISO, with entries specifying the nature of the change, </w:t>
      </w:r>
      <w:r>
        <w:rPr>
          <w:rFonts w:ascii="Calibri" w:eastAsia="Calibri" w:hAnsi="Calibri" w:cs="Calibri"/>
          <w:color w:val="000000"/>
          <w:sz w:val="22"/>
          <w:szCs w:val="22"/>
        </w:rPr>
        <w:lastRenderedPageBreak/>
        <w:t>the date of implementation, and the name of the approving officer. This log is subject to Internal Audit review.</w:t>
      </w:r>
    </w:p>
    <w:p w14:paraId="35E1557F" w14:textId="77777777" w:rsidR="0018469C" w:rsidRDefault="00000000">
      <w:pPr>
        <w:pStyle w:val="Heading3"/>
        <w:spacing w:before="240" w:after="80" w:line="312" w:lineRule="auto"/>
      </w:pPr>
      <w:r>
        <w:rPr>
          <w:rFonts w:ascii="Calibri" w:eastAsia="Calibri" w:hAnsi="Calibri" w:cs="Calibri"/>
          <w:color w:val="1A1A1A"/>
          <w:sz w:val="24"/>
          <w:szCs w:val="24"/>
        </w:rPr>
        <w:t>9.4   Internal Audit Program</w:t>
      </w:r>
    </w:p>
    <w:p w14:paraId="2099AA54" w14:textId="77777777" w:rsidR="0018469C" w:rsidRDefault="00000000">
      <w:pPr>
        <w:spacing w:before="60" w:after="120" w:line="360" w:lineRule="auto"/>
      </w:pPr>
      <w:r>
        <w:rPr>
          <w:rFonts w:ascii="Calibri" w:eastAsia="Calibri" w:hAnsi="Calibri" w:cs="Calibri"/>
          <w:color w:val="000000"/>
          <w:sz w:val="22"/>
          <w:szCs w:val="22"/>
        </w:rPr>
        <w:t>Internal Audit shall conduct, at minimum on an annual basis, an independent review of the KYC program's effectiveness. The scope of this review shall include, at minimum:</w:t>
      </w:r>
    </w:p>
    <w:p w14:paraId="42280D0A"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Assessment of KYC control design against current regulatory requirements and this policy;</w:t>
      </w:r>
    </w:p>
    <w:p w14:paraId="15891F23"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Testing of AI impersonation detection controls through red-team exercises, including simulated synthetic identity submissions, deepfake biometric attacks, and automated session simulations;</w:t>
      </w:r>
    </w:p>
    <w:p w14:paraId="487C47C6"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Review of transaction monitoring system effectiveness, including rule coverage, alert volume, alert disposition quality, and SAR filing rate;</w:t>
      </w:r>
    </w:p>
    <w:p w14:paraId="62DA4A66"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SAR quality review, including completeness, timeliness, and narrative quality;</w:t>
      </w:r>
    </w:p>
    <w:p w14:paraId="6B65123B"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Evidence package integrity verification for a statistically significant sample of account openings.</w:t>
      </w:r>
    </w:p>
    <w:p w14:paraId="1F793FD8" w14:textId="77777777" w:rsidR="0018469C" w:rsidRDefault="00000000">
      <w:pPr>
        <w:spacing w:before="60" w:after="120" w:line="360" w:lineRule="auto"/>
      </w:pPr>
      <w:r>
        <w:rPr>
          <w:rFonts w:ascii="Calibri" w:eastAsia="Calibri" w:hAnsi="Calibri" w:cs="Calibri"/>
          <w:color w:val="000000"/>
          <w:sz w:val="22"/>
          <w:szCs w:val="22"/>
        </w:rPr>
        <w:t>Internal Audit findings shall be reported to the Risk Committee with complete corrective action plans, responsible owners, and target remediation dates. Corrective action plan completion shall be tracked and reported to the Risk Committee at each quarterly meeting until all items are closed.</w:t>
      </w:r>
    </w:p>
    <w:p w14:paraId="09931637" w14:textId="77777777" w:rsidR="0018469C" w:rsidRDefault="0018469C">
      <w:pPr>
        <w:pBdr>
          <w:bottom w:val="single" w:sz="6" w:space="0" w:color="000000"/>
        </w:pBdr>
        <w:spacing w:before="240" w:after="240"/>
      </w:pPr>
    </w:p>
    <w:p w14:paraId="6AC8002A" w14:textId="77777777" w:rsidR="0018469C" w:rsidRDefault="00000000">
      <w:pPr>
        <w:pStyle w:val="Heading2"/>
        <w:spacing w:before="360" w:after="100" w:line="312" w:lineRule="auto"/>
      </w:pPr>
      <w:r>
        <w:rPr>
          <w:rFonts w:ascii="Calibri" w:eastAsia="Calibri" w:hAnsi="Calibri" w:cs="Calibri"/>
          <w:color w:val="1A1A1A"/>
          <w:sz w:val="28"/>
          <w:szCs w:val="28"/>
        </w:rPr>
        <w:t>10.0   Regulatory Alignment</w:t>
      </w:r>
    </w:p>
    <w:p w14:paraId="15BB3057" w14:textId="77777777" w:rsidR="0018469C" w:rsidRDefault="0018469C">
      <w:pPr>
        <w:pBdr>
          <w:top w:val="single" w:sz="6" w:space="0" w:color="2B5797"/>
        </w:pBdr>
        <w:spacing w:after="200"/>
      </w:pPr>
    </w:p>
    <w:p w14:paraId="493A2E6E" w14:textId="77777777" w:rsidR="0018469C" w:rsidRDefault="00000000">
      <w:pPr>
        <w:spacing w:before="60" w:after="120" w:line="360" w:lineRule="auto"/>
      </w:pPr>
      <w:r>
        <w:rPr>
          <w:rFonts w:ascii="Calibri" w:eastAsia="Calibri" w:hAnsi="Calibri" w:cs="Calibri"/>
          <w:color w:val="000000"/>
          <w:sz w:val="22"/>
          <w:szCs w:val="22"/>
        </w:rPr>
        <w:t>The following table maps the key provisions of this policy to specific regulatory frameworks, legal requirements, and industry standards:</w:t>
      </w:r>
    </w:p>
    <w:p w14:paraId="58140DF9" w14:textId="77777777" w:rsidR="0018469C" w:rsidRDefault="0018469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2056"/>
        <w:gridCol w:w="6078"/>
        <w:gridCol w:w="1216"/>
      </w:tblGrid>
      <w:tr w:rsidR="0018469C" w14:paraId="71C9D1C2" w14:textId="77777777">
        <w:trPr>
          <w:tblHeader/>
        </w:trPr>
        <w:tc>
          <w:tcPr>
            <w:tcW w:w="1100" w:type="pct"/>
            <w:shd w:val="clear" w:color="auto" w:fill="E8EEF7"/>
            <w:tcMar>
              <w:top w:w="90" w:type="dxa"/>
              <w:left w:w="135" w:type="dxa"/>
              <w:bottom w:w="90" w:type="dxa"/>
              <w:right w:w="135" w:type="dxa"/>
            </w:tcMar>
          </w:tcPr>
          <w:p w14:paraId="1468E566" w14:textId="77777777" w:rsidR="0018469C" w:rsidRDefault="00000000">
            <w:r>
              <w:rPr>
                <w:rFonts w:ascii="Calibri" w:eastAsia="Calibri" w:hAnsi="Calibri" w:cs="Calibri"/>
                <w:b/>
                <w:bCs/>
                <w:color w:val="000000"/>
                <w:sz w:val="20"/>
                <w:szCs w:val="20"/>
              </w:rPr>
              <w:t>Regulatory Framework</w:t>
            </w:r>
          </w:p>
        </w:tc>
        <w:tc>
          <w:tcPr>
            <w:tcW w:w="3250" w:type="pct"/>
            <w:shd w:val="clear" w:color="auto" w:fill="E8EEF7"/>
            <w:tcMar>
              <w:top w:w="90" w:type="dxa"/>
              <w:left w:w="135" w:type="dxa"/>
              <w:bottom w:w="90" w:type="dxa"/>
              <w:right w:w="135" w:type="dxa"/>
            </w:tcMar>
          </w:tcPr>
          <w:p w14:paraId="173528AA" w14:textId="77777777" w:rsidR="0018469C" w:rsidRDefault="00000000">
            <w:r>
              <w:rPr>
                <w:rFonts w:ascii="Calibri" w:eastAsia="Calibri" w:hAnsi="Calibri" w:cs="Calibri"/>
                <w:b/>
                <w:bCs/>
                <w:color w:val="000000"/>
                <w:sz w:val="20"/>
                <w:szCs w:val="20"/>
              </w:rPr>
              <w:t>Requirement</w:t>
            </w:r>
          </w:p>
        </w:tc>
        <w:tc>
          <w:tcPr>
            <w:tcW w:w="650" w:type="pct"/>
            <w:shd w:val="clear" w:color="auto" w:fill="E8EEF7"/>
            <w:tcMar>
              <w:top w:w="90" w:type="dxa"/>
              <w:left w:w="135" w:type="dxa"/>
              <w:bottom w:w="90" w:type="dxa"/>
              <w:right w:w="135" w:type="dxa"/>
            </w:tcMar>
          </w:tcPr>
          <w:p w14:paraId="6D65B47B" w14:textId="77777777" w:rsidR="0018469C" w:rsidRDefault="00000000">
            <w:r>
              <w:rPr>
                <w:rFonts w:ascii="Calibri" w:eastAsia="Calibri" w:hAnsi="Calibri" w:cs="Calibri"/>
                <w:b/>
                <w:bCs/>
                <w:color w:val="000000"/>
                <w:sz w:val="20"/>
                <w:szCs w:val="20"/>
              </w:rPr>
              <w:t>Policy Section(s)</w:t>
            </w:r>
          </w:p>
        </w:tc>
      </w:tr>
      <w:tr w:rsidR="0018469C" w14:paraId="5AAC9A87" w14:textId="77777777">
        <w:tc>
          <w:tcPr>
            <w:tcW w:w="1100" w:type="pct"/>
            <w:tcMar>
              <w:top w:w="90" w:type="dxa"/>
              <w:left w:w="135" w:type="dxa"/>
              <w:bottom w:w="90" w:type="dxa"/>
              <w:right w:w="135" w:type="dxa"/>
            </w:tcMar>
          </w:tcPr>
          <w:p w14:paraId="66810213" w14:textId="77777777" w:rsidR="0018469C" w:rsidRDefault="00000000">
            <w:r>
              <w:rPr>
                <w:rFonts w:ascii="Calibri" w:eastAsia="Calibri" w:hAnsi="Calibri" w:cs="Calibri"/>
                <w:b/>
                <w:bCs/>
                <w:color w:val="000000"/>
                <w:sz w:val="22"/>
                <w:szCs w:val="22"/>
              </w:rPr>
              <w:t>Bank Secrecy Act (BSA)</w:t>
            </w:r>
            <w:r>
              <w:rPr>
                <w:rFonts w:ascii="Calibri" w:eastAsia="Calibri" w:hAnsi="Calibri" w:cs="Calibri"/>
                <w:color w:val="000000"/>
                <w:sz w:val="20"/>
                <w:szCs w:val="20"/>
              </w:rPr>
              <w:t xml:space="preserve"> 31 U.S.C. §§ 5311–5330</w:t>
            </w:r>
          </w:p>
        </w:tc>
        <w:tc>
          <w:tcPr>
            <w:tcW w:w="3250" w:type="pct"/>
            <w:tcMar>
              <w:top w:w="90" w:type="dxa"/>
              <w:left w:w="135" w:type="dxa"/>
              <w:bottom w:w="90" w:type="dxa"/>
              <w:right w:w="135" w:type="dxa"/>
            </w:tcMar>
          </w:tcPr>
          <w:p w14:paraId="7E3983D1" w14:textId="77777777" w:rsidR="0018469C" w:rsidRDefault="00000000">
            <w:r>
              <w:rPr>
                <w:rFonts w:ascii="Calibri" w:eastAsia="Calibri" w:hAnsi="Calibri" w:cs="Calibri"/>
                <w:color w:val="000000"/>
                <w:sz w:val="20"/>
                <w:szCs w:val="20"/>
              </w:rPr>
              <w:t>Customer identification, recordkeeping obligations, suspicious activity report filing</w:t>
            </w:r>
          </w:p>
        </w:tc>
        <w:tc>
          <w:tcPr>
            <w:tcW w:w="650" w:type="pct"/>
            <w:tcMar>
              <w:top w:w="90" w:type="dxa"/>
              <w:left w:w="135" w:type="dxa"/>
              <w:bottom w:w="90" w:type="dxa"/>
              <w:right w:w="135" w:type="dxa"/>
            </w:tcMar>
          </w:tcPr>
          <w:p w14:paraId="7F82DEDC" w14:textId="77777777" w:rsidR="0018469C" w:rsidRDefault="00000000">
            <w:r>
              <w:rPr>
                <w:rFonts w:ascii="Calibri" w:eastAsia="Calibri" w:hAnsi="Calibri" w:cs="Calibri"/>
                <w:color w:val="000000"/>
                <w:sz w:val="20"/>
                <w:szCs w:val="20"/>
              </w:rPr>
              <w:t>4.0, 6.0, 9.0</w:t>
            </w:r>
          </w:p>
        </w:tc>
      </w:tr>
      <w:tr w:rsidR="0018469C" w14:paraId="34043551" w14:textId="77777777">
        <w:tc>
          <w:tcPr>
            <w:tcW w:w="1100" w:type="pct"/>
            <w:tcMar>
              <w:top w:w="90" w:type="dxa"/>
              <w:left w:w="135" w:type="dxa"/>
              <w:bottom w:w="90" w:type="dxa"/>
              <w:right w:w="135" w:type="dxa"/>
            </w:tcMar>
          </w:tcPr>
          <w:p w14:paraId="2AB10995" w14:textId="77777777" w:rsidR="0018469C" w:rsidRDefault="00000000">
            <w:r>
              <w:rPr>
                <w:rFonts w:ascii="Calibri" w:eastAsia="Calibri" w:hAnsi="Calibri" w:cs="Calibri"/>
                <w:b/>
                <w:bCs/>
                <w:color w:val="000000"/>
                <w:sz w:val="22"/>
                <w:szCs w:val="22"/>
              </w:rPr>
              <w:t>FinCEN CIP Rule</w:t>
            </w:r>
            <w:r>
              <w:rPr>
                <w:rFonts w:ascii="Calibri" w:eastAsia="Calibri" w:hAnsi="Calibri" w:cs="Calibri"/>
                <w:color w:val="000000"/>
                <w:sz w:val="20"/>
                <w:szCs w:val="20"/>
              </w:rPr>
              <w:t xml:space="preserve"> 31 CFR 1020.220</w:t>
            </w:r>
          </w:p>
        </w:tc>
        <w:tc>
          <w:tcPr>
            <w:tcW w:w="3250" w:type="pct"/>
            <w:tcMar>
              <w:top w:w="90" w:type="dxa"/>
              <w:left w:w="135" w:type="dxa"/>
              <w:bottom w:w="90" w:type="dxa"/>
              <w:right w:w="135" w:type="dxa"/>
            </w:tcMar>
          </w:tcPr>
          <w:p w14:paraId="64C9591E" w14:textId="77777777" w:rsidR="0018469C" w:rsidRDefault="00000000">
            <w:r>
              <w:rPr>
                <w:rFonts w:ascii="Calibri" w:eastAsia="Calibri" w:hAnsi="Calibri" w:cs="Calibri"/>
                <w:color w:val="000000"/>
                <w:sz w:val="20"/>
                <w:szCs w:val="20"/>
              </w:rPr>
              <w:t>Mandatory collection and verification of customer identity at account opening</w:t>
            </w:r>
          </w:p>
        </w:tc>
        <w:tc>
          <w:tcPr>
            <w:tcW w:w="650" w:type="pct"/>
            <w:tcMar>
              <w:top w:w="90" w:type="dxa"/>
              <w:left w:w="135" w:type="dxa"/>
              <w:bottom w:w="90" w:type="dxa"/>
              <w:right w:w="135" w:type="dxa"/>
            </w:tcMar>
          </w:tcPr>
          <w:p w14:paraId="1B6CB263" w14:textId="77777777" w:rsidR="0018469C" w:rsidRDefault="00000000">
            <w:r>
              <w:rPr>
                <w:rFonts w:ascii="Calibri" w:eastAsia="Calibri" w:hAnsi="Calibri" w:cs="Calibri"/>
                <w:color w:val="000000"/>
                <w:sz w:val="20"/>
                <w:szCs w:val="20"/>
              </w:rPr>
              <w:t>4.1, 4.2</w:t>
            </w:r>
          </w:p>
        </w:tc>
      </w:tr>
      <w:tr w:rsidR="0018469C" w14:paraId="2CC9CD2E" w14:textId="77777777">
        <w:tc>
          <w:tcPr>
            <w:tcW w:w="1100" w:type="pct"/>
            <w:tcMar>
              <w:top w:w="90" w:type="dxa"/>
              <w:left w:w="135" w:type="dxa"/>
              <w:bottom w:w="90" w:type="dxa"/>
              <w:right w:w="135" w:type="dxa"/>
            </w:tcMar>
          </w:tcPr>
          <w:p w14:paraId="207E247E" w14:textId="77777777" w:rsidR="0018469C" w:rsidRDefault="00000000">
            <w:r>
              <w:rPr>
                <w:rFonts w:ascii="Calibri" w:eastAsia="Calibri" w:hAnsi="Calibri" w:cs="Calibri"/>
                <w:b/>
                <w:bCs/>
                <w:color w:val="000000"/>
                <w:sz w:val="22"/>
                <w:szCs w:val="22"/>
              </w:rPr>
              <w:t>FinCEN CDD Rule</w:t>
            </w:r>
            <w:r>
              <w:rPr>
                <w:rFonts w:ascii="Calibri" w:eastAsia="Calibri" w:hAnsi="Calibri" w:cs="Calibri"/>
                <w:color w:val="000000"/>
                <w:sz w:val="20"/>
                <w:szCs w:val="20"/>
              </w:rPr>
              <w:t xml:space="preserve"> 31 CFR 1010.230</w:t>
            </w:r>
          </w:p>
        </w:tc>
        <w:tc>
          <w:tcPr>
            <w:tcW w:w="3250" w:type="pct"/>
            <w:tcMar>
              <w:top w:w="90" w:type="dxa"/>
              <w:left w:w="135" w:type="dxa"/>
              <w:bottom w:w="90" w:type="dxa"/>
              <w:right w:w="135" w:type="dxa"/>
            </w:tcMar>
          </w:tcPr>
          <w:p w14:paraId="224AB4DD" w14:textId="77777777" w:rsidR="0018469C" w:rsidRDefault="00000000">
            <w:r>
              <w:rPr>
                <w:rFonts w:ascii="Calibri" w:eastAsia="Calibri" w:hAnsi="Calibri" w:cs="Calibri"/>
                <w:color w:val="000000"/>
                <w:sz w:val="20"/>
                <w:szCs w:val="20"/>
              </w:rPr>
              <w:t>Customer due diligence, beneficial ownership identification and verification, ongoing monitoring</w:t>
            </w:r>
          </w:p>
        </w:tc>
        <w:tc>
          <w:tcPr>
            <w:tcW w:w="650" w:type="pct"/>
            <w:tcMar>
              <w:top w:w="90" w:type="dxa"/>
              <w:left w:w="135" w:type="dxa"/>
              <w:bottom w:w="90" w:type="dxa"/>
              <w:right w:w="135" w:type="dxa"/>
            </w:tcMar>
          </w:tcPr>
          <w:p w14:paraId="270959E1" w14:textId="77777777" w:rsidR="0018469C" w:rsidRDefault="00000000">
            <w:r>
              <w:rPr>
                <w:rFonts w:ascii="Calibri" w:eastAsia="Calibri" w:hAnsi="Calibri" w:cs="Calibri"/>
                <w:color w:val="000000"/>
                <w:sz w:val="20"/>
                <w:szCs w:val="20"/>
              </w:rPr>
              <w:t>4.1, 6.0</w:t>
            </w:r>
          </w:p>
        </w:tc>
      </w:tr>
      <w:tr w:rsidR="0018469C" w14:paraId="2271E783" w14:textId="77777777">
        <w:tc>
          <w:tcPr>
            <w:tcW w:w="1100" w:type="pct"/>
            <w:tcMar>
              <w:top w:w="90" w:type="dxa"/>
              <w:left w:w="135" w:type="dxa"/>
              <w:bottom w:w="90" w:type="dxa"/>
              <w:right w:w="135" w:type="dxa"/>
            </w:tcMar>
          </w:tcPr>
          <w:p w14:paraId="54D11947" w14:textId="77777777" w:rsidR="0018469C" w:rsidRDefault="00000000">
            <w:r>
              <w:rPr>
                <w:rFonts w:ascii="Calibri" w:eastAsia="Calibri" w:hAnsi="Calibri" w:cs="Calibri"/>
                <w:b/>
                <w:bCs/>
                <w:color w:val="000000"/>
                <w:sz w:val="22"/>
                <w:szCs w:val="22"/>
              </w:rPr>
              <w:lastRenderedPageBreak/>
              <w:t>Corporate Transparency Act</w:t>
            </w:r>
            <w:r>
              <w:rPr>
                <w:rFonts w:ascii="Calibri" w:eastAsia="Calibri" w:hAnsi="Calibri" w:cs="Calibri"/>
                <w:color w:val="000000"/>
                <w:sz w:val="20"/>
                <w:szCs w:val="20"/>
              </w:rPr>
              <w:t xml:space="preserve"> FinCEN BOI Rule</w:t>
            </w:r>
          </w:p>
        </w:tc>
        <w:tc>
          <w:tcPr>
            <w:tcW w:w="3250" w:type="pct"/>
            <w:tcMar>
              <w:top w:w="90" w:type="dxa"/>
              <w:left w:w="135" w:type="dxa"/>
              <w:bottom w:w="90" w:type="dxa"/>
              <w:right w:w="135" w:type="dxa"/>
            </w:tcMar>
          </w:tcPr>
          <w:p w14:paraId="74C3A224" w14:textId="77777777" w:rsidR="0018469C" w:rsidRDefault="00000000">
            <w:r>
              <w:rPr>
                <w:rFonts w:ascii="Calibri" w:eastAsia="Calibri" w:hAnsi="Calibri" w:cs="Calibri"/>
                <w:color w:val="000000"/>
                <w:sz w:val="20"/>
                <w:szCs w:val="20"/>
              </w:rPr>
              <w:t>Beneficial ownership collection and verification for legal entity customers</w:t>
            </w:r>
          </w:p>
        </w:tc>
        <w:tc>
          <w:tcPr>
            <w:tcW w:w="650" w:type="pct"/>
            <w:tcMar>
              <w:top w:w="90" w:type="dxa"/>
              <w:left w:w="135" w:type="dxa"/>
              <w:bottom w:w="90" w:type="dxa"/>
              <w:right w:w="135" w:type="dxa"/>
            </w:tcMar>
          </w:tcPr>
          <w:p w14:paraId="103027C2" w14:textId="77777777" w:rsidR="0018469C" w:rsidRDefault="00000000">
            <w:r>
              <w:rPr>
                <w:rFonts w:ascii="Calibri" w:eastAsia="Calibri" w:hAnsi="Calibri" w:cs="Calibri"/>
                <w:color w:val="000000"/>
                <w:sz w:val="20"/>
                <w:szCs w:val="20"/>
              </w:rPr>
              <w:t>4.1, 4.2</w:t>
            </w:r>
          </w:p>
        </w:tc>
      </w:tr>
      <w:tr w:rsidR="0018469C" w14:paraId="4CA23168" w14:textId="77777777">
        <w:tc>
          <w:tcPr>
            <w:tcW w:w="1100" w:type="pct"/>
            <w:tcMar>
              <w:top w:w="90" w:type="dxa"/>
              <w:left w:w="135" w:type="dxa"/>
              <w:bottom w:w="90" w:type="dxa"/>
              <w:right w:w="135" w:type="dxa"/>
            </w:tcMar>
          </w:tcPr>
          <w:p w14:paraId="06CB629D" w14:textId="77777777" w:rsidR="0018469C" w:rsidRDefault="00000000">
            <w:r>
              <w:rPr>
                <w:rFonts w:ascii="Calibri" w:eastAsia="Calibri" w:hAnsi="Calibri" w:cs="Calibri"/>
                <w:b/>
                <w:bCs/>
                <w:color w:val="000000"/>
                <w:sz w:val="22"/>
                <w:szCs w:val="22"/>
              </w:rPr>
              <w:t>FFIEC BSA/AML Examination Manual</w:t>
            </w:r>
          </w:p>
        </w:tc>
        <w:tc>
          <w:tcPr>
            <w:tcW w:w="3250" w:type="pct"/>
            <w:tcMar>
              <w:top w:w="90" w:type="dxa"/>
              <w:left w:w="135" w:type="dxa"/>
              <w:bottom w:w="90" w:type="dxa"/>
              <w:right w:w="135" w:type="dxa"/>
            </w:tcMar>
          </w:tcPr>
          <w:p w14:paraId="4392C23A" w14:textId="77777777" w:rsidR="0018469C" w:rsidRDefault="00000000">
            <w:r>
              <w:rPr>
                <w:rFonts w:ascii="Calibri" w:eastAsia="Calibri" w:hAnsi="Calibri" w:cs="Calibri"/>
                <w:color w:val="000000"/>
                <w:sz w:val="20"/>
                <w:szCs w:val="20"/>
              </w:rPr>
              <w:t>AML program design requirements, transaction monitoring expectations, SAR quality standards</w:t>
            </w:r>
          </w:p>
        </w:tc>
        <w:tc>
          <w:tcPr>
            <w:tcW w:w="650" w:type="pct"/>
            <w:tcMar>
              <w:top w:w="90" w:type="dxa"/>
              <w:left w:w="135" w:type="dxa"/>
              <w:bottom w:w="90" w:type="dxa"/>
              <w:right w:w="135" w:type="dxa"/>
            </w:tcMar>
          </w:tcPr>
          <w:p w14:paraId="703216D1" w14:textId="77777777" w:rsidR="0018469C" w:rsidRDefault="00000000">
            <w:r>
              <w:rPr>
                <w:rFonts w:ascii="Calibri" w:eastAsia="Calibri" w:hAnsi="Calibri" w:cs="Calibri"/>
                <w:color w:val="000000"/>
                <w:sz w:val="20"/>
                <w:szCs w:val="20"/>
              </w:rPr>
              <w:t>6.1, 6.3</w:t>
            </w:r>
          </w:p>
        </w:tc>
      </w:tr>
      <w:tr w:rsidR="0018469C" w14:paraId="1168638F" w14:textId="77777777">
        <w:tc>
          <w:tcPr>
            <w:tcW w:w="1100" w:type="pct"/>
            <w:tcMar>
              <w:top w:w="90" w:type="dxa"/>
              <w:left w:w="135" w:type="dxa"/>
              <w:bottom w:w="90" w:type="dxa"/>
              <w:right w:w="135" w:type="dxa"/>
            </w:tcMar>
          </w:tcPr>
          <w:p w14:paraId="054E48C3" w14:textId="77777777" w:rsidR="0018469C" w:rsidRDefault="00000000">
            <w:r>
              <w:rPr>
                <w:rFonts w:ascii="Calibri" w:eastAsia="Calibri" w:hAnsi="Calibri" w:cs="Calibri"/>
                <w:b/>
                <w:bCs/>
                <w:color w:val="000000"/>
                <w:sz w:val="22"/>
                <w:szCs w:val="22"/>
              </w:rPr>
              <w:t>NIST SP 800-63-3</w:t>
            </w:r>
            <w:r>
              <w:rPr>
                <w:rFonts w:ascii="Calibri" w:eastAsia="Calibri" w:hAnsi="Calibri" w:cs="Calibri"/>
                <w:color w:val="000000"/>
                <w:sz w:val="20"/>
                <w:szCs w:val="20"/>
              </w:rPr>
              <w:t xml:space="preserve"> Digital Identity Guidelines</w:t>
            </w:r>
          </w:p>
        </w:tc>
        <w:tc>
          <w:tcPr>
            <w:tcW w:w="3250" w:type="pct"/>
            <w:tcMar>
              <w:top w:w="90" w:type="dxa"/>
              <w:left w:w="135" w:type="dxa"/>
              <w:bottom w:w="90" w:type="dxa"/>
              <w:right w:w="135" w:type="dxa"/>
            </w:tcMar>
          </w:tcPr>
          <w:p w14:paraId="274A1C7C" w14:textId="77777777" w:rsidR="0018469C" w:rsidRDefault="00000000">
            <w:r>
              <w:rPr>
                <w:rFonts w:ascii="Calibri" w:eastAsia="Calibri" w:hAnsi="Calibri" w:cs="Calibri"/>
                <w:color w:val="000000"/>
                <w:sz w:val="20"/>
                <w:szCs w:val="20"/>
              </w:rPr>
              <w:t>IAL2 and IAL3 identity proofing standards; enrollment and identity proofing; authentication lifecycle</w:t>
            </w:r>
          </w:p>
        </w:tc>
        <w:tc>
          <w:tcPr>
            <w:tcW w:w="650" w:type="pct"/>
            <w:tcMar>
              <w:top w:w="90" w:type="dxa"/>
              <w:left w:w="135" w:type="dxa"/>
              <w:bottom w:w="90" w:type="dxa"/>
              <w:right w:w="135" w:type="dxa"/>
            </w:tcMar>
          </w:tcPr>
          <w:p w14:paraId="61338B00" w14:textId="77777777" w:rsidR="0018469C" w:rsidRDefault="00000000">
            <w:r>
              <w:rPr>
                <w:rFonts w:ascii="Calibri" w:eastAsia="Calibri" w:hAnsi="Calibri" w:cs="Calibri"/>
                <w:color w:val="000000"/>
                <w:sz w:val="20"/>
                <w:szCs w:val="20"/>
              </w:rPr>
              <w:t>4.2, 4.4, 5.0</w:t>
            </w:r>
          </w:p>
        </w:tc>
      </w:tr>
      <w:tr w:rsidR="0018469C" w14:paraId="347BA4FE" w14:textId="77777777">
        <w:tc>
          <w:tcPr>
            <w:tcW w:w="1100" w:type="pct"/>
            <w:tcMar>
              <w:top w:w="90" w:type="dxa"/>
              <w:left w:w="135" w:type="dxa"/>
              <w:bottom w:w="90" w:type="dxa"/>
              <w:right w:w="135" w:type="dxa"/>
            </w:tcMar>
          </w:tcPr>
          <w:p w14:paraId="6CC00F48" w14:textId="77777777" w:rsidR="0018469C" w:rsidRDefault="00000000">
            <w:r>
              <w:rPr>
                <w:rFonts w:ascii="Calibri" w:eastAsia="Calibri" w:hAnsi="Calibri" w:cs="Calibri"/>
                <w:b/>
                <w:bCs/>
                <w:color w:val="000000"/>
                <w:sz w:val="22"/>
                <w:szCs w:val="22"/>
              </w:rPr>
              <w:t>ISO/IEC 30107-3</w:t>
            </w:r>
            <w:r>
              <w:rPr>
                <w:rFonts w:ascii="Calibri" w:eastAsia="Calibri" w:hAnsi="Calibri" w:cs="Calibri"/>
                <w:color w:val="000000"/>
                <w:sz w:val="20"/>
                <w:szCs w:val="20"/>
              </w:rPr>
              <w:t xml:space="preserve"> Presentation Attack Detection</w:t>
            </w:r>
          </w:p>
        </w:tc>
        <w:tc>
          <w:tcPr>
            <w:tcW w:w="3250" w:type="pct"/>
            <w:tcMar>
              <w:top w:w="90" w:type="dxa"/>
              <w:left w:w="135" w:type="dxa"/>
              <w:bottom w:w="90" w:type="dxa"/>
              <w:right w:w="135" w:type="dxa"/>
            </w:tcMar>
          </w:tcPr>
          <w:p w14:paraId="1F172F0D" w14:textId="77777777" w:rsidR="0018469C" w:rsidRDefault="00000000">
            <w:r>
              <w:rPr>
                <w:rFonts w:ascii="Calibri" w:eastAsia="Calibri" w:hAnsi="Calibri" w:cs="Calibri"/>
                <w:color w:val="000000"/>
                <w:sz w:val="20"/>
                <w:szCs w:val="20"/>
              </w:rPr>
              <w:t>Biometric liveness detection standards; PAD Level 2 requirements</w:t>
            </w:r>
          </w:p>
        </w:tc>
        <w:tc>
          <w:tcPr>
            <w:tcW w:w="650" w:type="pct"/>
            <w:tcMar>
              <w:top w:w="90" w:type="dxa"/>
              <w:left w:w="135" w:type="dxa"/>
              <w:bottom w:w="90" w:type="dxa"/>
              <w:right w:w="135" w:type="dxa"/>
            </w:tcMar>
          </w:tcPr>
          <w:p w14:paraId="5774BCCB" w14:textId="77777777" w:rsidR="0018469C" w:rsidRDefault="00000000">
            <w:r>
              <w:rPr>
                <w:rFonts w:ascii="Calibri" w:eastAsia="Calibri" w:hAnsi="Calibri" w:cs="Calibri"/>
                <w:color w:val="000000"/>
                <w:sz w:val="20"/>
                <w:szCs w:val="20"/>
              </w:rPr>
              <w:t>4.3, 7.3</w:t>
            </w:r>
          </w:p>
        </w:tc>
      </w:tr>
      <w:tr w:rsidR="0018469C" w14:paraId="734368BA" w14:textId="77777777">
        <w:tc>
          <w:tcPr>
            <w:tcW w:w="1100" w:type="pct"/>
            <w:tcMar>
              <w:top w:w="90" w:type="dxa"/>
              <w:left w:w="135" w:type="dxa"/>
              <w:bottom w:w="90" w:type="dxa"/>
              <w:right w:w="135" w:type="dxa"/>
            </w:tcMar>
          </w:tcPr>
          <w:p w14:paraId="067577AC" w14:textId="77777777" w:rsidR="0018469C" w:rsidRPr="00A9425E" w:rsidRDefault="00000000">
            <w:pPr>
              <w:rPr>
                <w:lang w:val="pt-BR"/>
              </w:rPr>
            </w:pPr>
            <w:r w:rsidRPr="00A9425E">
              <w:rPr>
                <w:rFonts w:ascii="Calibri" w:eastAsia="Calibri" w:hAnsi="Calibri" w:cs="Calibri"/>
                <w:b/>
                <w:bCs/>
                <w:color w:val="000000"/>
                <w:sz w:val="22"/>
                <w:szCs w:val="22"/>
                <w:lang w:val="pt-BR"/>
              </w:rPr>
              <w:t xml:space="preserve">EU AI </w:t>
            </w:r>
            <w:proofErr w:type="spellStart"/>
            <w:r w:rsidRPr="00A9425E">
              <w:rPr>
                <w:rFonts w:ascii="Calibri" w:eastAsia="Calibri" w:hAnsi="Calibri" w:cs="Calibri"/>
                <w:b/>
                <w:bCs/>
                <w:color w:val="000000"/>
                <w:sz w:val="22"/>
                <w:szCs w:val="22"/>
                <w:lang w:val="pt-BR"/>
              </w:rPr>
              <w:t>Act</w:t>
            </w:r>
            <w:proofErr w:type="spellEnd"/>
            <w:r w:rsidRPr="00A9425E">
              <w:rPr>
                <w:rFonts w:ascii="Calibri" w:eastAsia="Calibri" w:hAnsi="Calibri" w:cs="Calibri"/>
                <w:color w:val="000000"/>
                <w:sz w:val="20"/>
                <w:szCs w:val="20"/>
                <w:lang w:val="pt-BR"/>
              </w:rPr>
              <w:t xml:space="preserve"> (</w:t>
            </w:r>
            <w:proofErr w:type="spellStart"/>
            <w:r w:rsidRPr="00A9425E">
              <w:rPr>
                <w:rFonts w:ascii="Calibri" w:eastAsia="Calibri" w:hAnsi="Calibri" w:cs="Calibri"/>
                <w:color w:val="000000"/>
                <w:sz w:val="20"/>
                <w:szCs w:val="20"/>
                <w:lang w:val="pt-BR"/>
              </w:rPr>
              <w:t>Reference</w:t>
            </w:r>
            <w:proofErr w:type="spellEnd"/>
            <w:r w:rsidRPr="00A9425E">
              <w:rPr>
                <w:rFonts w:ascii="Calibri" w:eastAsia="Calibri" w:hAnsi="Calibri" w:cs="Calibri"/>
                <w:color w:val="000000"/>
                <w:sz w:val="20"/>
                <w:szCs w:val="20"/>
                <w:lang w:val="pt-BR"/>
              </w:rPr>
              <w:t xml:space="preserve"> – AI </w:t>
            </w:r>
            <w:proofErr w:type="spellStart"/>
            <w:r w:rsidRPr="00A9425E">
              <w:rPr>
                <w:rFonts w:ascii="Calibri" w:eastAsia="Calibri" w:hAnsi="Calibri" w:cs="Calibri"/>
                <w:color w:val="000000"/>
                <w:sz w:val="20"/>
                <w:szCs w:val="20"/>
                <w:lang w:val="pt-BR"/>
              </w:rPr>
              <w:t>Control</w:t>
            </w:r>
            <w:proofErr w:type="spellEnd"/>
            <w:r w:rsidRPr="00A9425E">
              <w:rPr>
                <w:rFonts w:ascii="Calibri" w:eastAsia="Calibri" w:hAnsi="Calibri" w:cs="Calibri"/>
                <w:color w:val="000000"/>
                <w:sz w:val="20"/>
                <w:szCs w:val="20"/>
                <w:lang w:val="pt-BR"/>
              </w:rPr>
              <w:t xml:space="preserve"> Design)</w:t>
            </w:r>
          </w:p>
        </w:tc>
        <w:tc>
          <w:tcPr>
            <w:tcW w:w="3250" w:type="pct"/>
            <w:tcMar>
              <w:top w:w="90" w:type="dxa"/>
              <w:left w:w="135" w:type="dxa"/>
              <w:bottom w:w="90" w:type="dxa"/>
              <w:right w:w="135" w:type="dxa"/>
            </w:tcMar>
          </w:tcPr>
          <w:p w14:paraId="637CBB54" w14:textId="77777777" w:rsidR="0018469C" w:rsidRDefault="00000000">
            <w:r>
              <w:rPr>
                <w:rFonts w:ascii="Calibri" w:eastAsia="Calibri" w:hAnsi="Calibri" w:cs="Calibri"/>
                <w:color w:val="000000"/>
                <w:sz w:val="20"/>
                <w:szCs w:val="20"/>
              </w:rPr>
              <w:t>AI system risk classification, human oversight requirements, transparency obligations for AI systems; referenced as international best-practice framework for AI governance design</w:t>
            </w:r>
          </w:p>
        </w:tc>
        <w:tc>
          <w:tcPr>
            <w:tcW w:w="650" w:type="pct"/>
            <w:tcMar>
              <w:top w:w="90" w:type="dxa"/>
              <w:left w:w="135" w:type="dxa"/>
              <w:bottom w:w="90" w:type="dxa"/>
              <w:right w:w="135" w:type="dxa"/>
            </w:tcMar>
          </w:tcPr>
          <w:p w14:paraId="432B680C" w14:textId="77777777" w:rsidR="0018469C" w:rsidRDefault="00000000">
            <w:r>
              <w:rPr>
                <w:rFonts w:ascii="Calibri" w:eastAsia="Calibri" w:hAnsi="Calibri" w:cs="Calibri"/>
                <w:color w:val="000000"/>
                <w:sz w:val="20"/>
                <w:szCs w:val="20"/>
              </w:rPr>
              <w:t>7.0, 8.0</w:t>
            </w:r>
          </w:p>
        </w:tc>
      </w:tr>
      <w:tr w:rsidR="0018469C" w14:paraId="0E03AB2A" w14:textId="77777777">
        <w:tc>
          <w:tcPr>
            <w:tcW w:w="1100" w:type="pct"/>
            <w:tcMar>
              <w:top w:w="90" w:type="dxa"/>
              <w:left w:w="135" w:type="dxa"/>
              <w:bottom w:w="90" w:type="dxa"/>
              <w:right w:w="135" w:type="dxa"/>
            </w:tcMar>
          </w:tcPr>
          <w:p w14:paraId="7C1595A3" w14:textId="77777777" w:rsidR="0018469C" w:rsidRDefault="00000000">
            <w:r>
              <w:rPr>
                <w:rFonts w:ascii="Calibri" w:eastAsia="Calibri" w:hAnsi="Calibri" w:cs="Calibri"/>
                <w:b/>
                <w:bCs/>
                <w:color w:val="000000"/>
                <w:sz w:val="22"/>
                <w:szCs w:val="22"/>
              </w:rPr>
              <w:t>FATF Recommendation 10</w:t>
            </w:r>
            <w:r>
              <w:rPr>
                <w:rFonts w:ascii="Calibri" w:eastAsia="Calibri" w:hAnsi="Calibri" w:cs="Calibri"/>
                <w:color w:val="000000"/>
                <w:sz w:val="20"/>
                <w:szCs w:val="20"/>
              </w:rPr>
              <w:t xml:space="preserve"> Customer Due Diligence</w:t>
            </w:r>
          </w:p>
        </w:tc>
        <w:tc>
          <w:tcPr>
            <w:tcW w:w="3250" w:type="pct"/>
            <w:tcMar>
              <w:top w:w="90" w:type="dxa"/>
              <w:left w:w="135" w:type="dxa"/>
              <w:bottom w:w="90" w:type="dxa"/>
              <w:right w:w="135" w:type="dxa"/>
            </w:tcMar>
          </w:tcPr>
          <w:p w14:paraId="631A87F9" w14:textId="77777777" w:rsidR="0018469C" w:rsidRDefault="00000000">
            <w:r>
              <w:rPr>
                <w:rFonts w:ascii="Calibri" w:eastAsia="Calibri" w:hAnsi="Calibri" w:cs="Calibri"/>
                <w:color w:val="000000"/>
                <w:sz w:val="20"/>
                <w:szCs w:val="20"/>
              </w:rPr>
              <w:t>Risk-based approach to customer due diligence; enhanced measures for higher-risk customers</w:t>
            </w:r>
          </w:p>
        </w:tc>
        <w:tc>
          <w:tcPr>
            <w:tcW w:w="650" w:type="pct"/>
            <w:tcMar>
              <w:top w:w="90" w:type="dxa"/>
              <w:left w:w="135" w:type="dxa"/>
              <w:bottom w:w="90" w:type="dxa"/>
              <w:right w:w="135" w:type="dxa"/>
            </w:tcMar>
          </w:tcPr>
          <w:p w14:paraId="0BDF3BBE" w14:textId="77777777" w:rsidR="0018469C" w:rsidRDefault="00000000">
            <w:r>
              <w:rPr>
                <w:rFonts w:ascii="Calibri" w:eastAsia="Calibri" w:hAnsi="Calibri" w:cs="Calibri"/>
                <w:color w:val="000000"/>
                <w:sz w:val="20"/>
                <w:szCs w:val="20"/>
              </w:rPr>
              <w:t>4.4, 6.0</w:t>
            </w:r>
          </w:p>
        </w:tc>
      </w:tr>
      <w:tr w:rsidR="0018469C" w14:paraId="1E269652" w14:textId="77777777">
        <w:tc>
          <w:tcPr>
            <w:tcW w:w="1100" w:type="pct"/>
            <w:tcMar>
              <w:top w:w="90" w:type="dxa"/>
              <w:left w:w="135" w:type="dxa"/>
              <w:bottom w:w="90" w:type="dxa"/>
              <w:right w:w="135" w:type="dxa"/>
            </w:tcMar>
          </w:tcPr>
          <w:p w14:paraId="3DCA1425" w14:textId="77777777" w:rsidR="0018469C" w:rsidRDefault="00000000">
            <w:r>
              <w:rPr>
                <w:rFonts w:ascii="Calibri" w:eastAsia="Calibri" w:hAnsi="Calibri" w:cs="Calibri"/>
                <w:b/>
                <w:bCs/>
                <w:color w:val="000000"/>
                <w:sz w:val="22"/>
                <w:szCs w:val="22"/>
              </w:rPr>
              <w:t>FATF Recommendation 20</w:t>
            </w:r>
            <w:r>
              <w:rPr>
                <w:rFonts w:ascii="Calibri" w:eastAsia="Calibri" w:hAnsi="Calibri" w:cs="Calibri"/>
                <w:color w:val="000000"/>
                <w:sz w:val="20"/>
                <w:szCs w:val="20"/>
              </w:rPr>
              <w:t xml:space="preserve"> SAR/STR Reporting</w:t>
            </w:r>
          </w:p>
        </w:tc>
        <w:tc>
          <w:tcPr>
            <w:tcW w:w="3250" w:type="pct"/>
            <w:tcMar>
              <w:top w:w="90" w:type="dxa"/>
              <w:left w:w="135" w:type="dxa"/>
              <w:bottom w:w="90" w:type="dxa"/>
              <w:right w:w="135" w:type="dxa"/>
            </w:tcMar>
          </w:tcPr>
          <w:p w14:paraId="0C739787" w14:textId="77777777" w:rsidR="0018469C" w:rsidRDefault="00000000">
            <w:r>
              <w:rPr>
                <w:rFonts w:ascii="Calibri" w:eastAsia="Calibri" w:hAnsi="Calibri" w:cs="Calibri"/>
                <w:color w:val="000000"/>
                <w:sz w:val="20"/>
                <w:szCs w:val="20"/>
              </w:rPr>
              <w:t>Suspicious transaction reporting obligations; threshold-based and suspicion-based reporting</w:t>
            </w:r>
          </w:p>
        </w:tc>
        <w:tc>
          <w:tcPr>
            <w:tcW w:w="650" w:type="pct"/>
            <w:tcMar>
              <w:top w:w="90" w:type="dxa"/>
              <w:left w:w="135" w:type="dxa"/>
              <w:bottom w:w="90" w:type="dxa"/>
              <w:right w:w="135" w:type="dxa"/>
            </w:tcMar>
          </w:tcPr>
          <w:p w14:paraId="4988BF7A" w14:textId="77777777" w:rsidR="0018469C" w:rsidRDefault="00000000">
            <w:r>
              <w:rPr>
                <w:rFonts w:ascii="Calibri" w:eastAsia="Calibri" w:hAnsi="Calibri" w:cs="Calibri"/>
                <w:color w:val="000000"/>
                <w:sz w:val="20"/>
                <w:szCs w:val="20"/>
              </w:rPr>
              <w:t>6.1, 6.3</w:t>
            </w:r>
          </w:p>
        </w:tc>
      </w:tr>
    </w:tbl>
    <w:p w14:paraId="496189F3" w14:textId="77777777" w:rsidR="0018469C" w:rsidRDefault="0018469C">
      <w:pPr>
        <w:spacing w:after="200"/>
      </w:pPr>
    </w:p>
    <w:p w14:paraId="3DF61807" w14:textId="77777777" w:rsidR="0018469C" w:rsidRDefault="00000000">
      <w:pPr>
        <w:spacing w:before="60" w:after="120" w:line="360" w:lineRule="auto"/>
      </w:pPr>
      <w:r>
        <w:rPr>
          <w:rFonts w:ascii="Calibri" w:eastAsia="Calibri" w:hAnsi="Calibri" w:cs="Calibri"/>
          <w:color w:val="000000"/>
          <w:sz w:val="22"/>
          <w:szCs w:val="22"/>
        </w:rPr>
        <w:t>This policy will be reviewed and updated within ninety (90) calendar days of any material regulatory change that affects digital identity requirements, beneficial ownership obligations, or the governance of artificial intelligence systems in financial services contexts. The CCO shall monitor regulatory developments on an ongoing basis and notify the Risk Committee promptly upon identification of any material change requiring policy revision.</w:t>
      </w:r>
    </w:p>
    <w:p w14:paraId="25049BD6" w14:textId="77777777" w:rsidR="0018469C" w:rsidRDefault="0018469C">
      <w:pPr>
        <w:pBdr>
          <w:bottom w:val="single" w:sz="6" w:space="0" w:color="000000"/>
        </w:pBdr>
        <w:spacing w:before="240" w:after="240"/>
      </w:pPr>
    </w:p>
    <w:p w14:paraId="3CDB2BAC" w14:textId="77777777" w:rsidR="0018469C" w:rsidRPr="00A9425E" w:rsidRDefault="00000000">
      <w:pPr>
        <w:pStyle w:val="Heading2"/>
        <w:spacing w:before="360" w:after="100" w:line="312" w:lineRule="auto"/>
        <w:rPr>
          <w:lang w:val="fr-FR"/>
        </w:rPr>
      </w:pPr>
      <w:r w:rsidRPr="00A9425E">
        <w:rPr>
          <w:rFonts w:ascii="Calibri" w:eastAsia="Calibri" w:hAnsi="Calibri" w:cs="Calibri"/>
          <w:color w:val="1A1A1A"/>
          <w:sz w:val="28"/>
          <w:szCs w:val="28"/>
          <w:lang w:val="fr-FR"/>
        </w:rPr>
        <w:t xml:space="preserve">11.0   </w:t>
      </w:r>
      <w:proofErr w:type="spellStart"/>
      <w:r w:rsidRPr="00A9425E">
        <w:rPr>
          <w:rFonts w:ascii="Calibri" w:eastAsia="Calibri" w:hAnsi="Calibri" w:cs="Calibri"/>
          <w:color w:val="1A1A1A"/>
          <w:sz w:val="28"/>
          <w:szCs w:val="28"/>
          <w:lang w:val="fr-FR"/>
        </w:rPr>
        <w:t>Enforcement</w:t>
      </w:r>
      <w:proofErr w:type="spellEnd"/>
      <w:r w:rsidRPr="00A9425E">
        <w:rPr>
          <w:rFonts w:ascii="Calibri" w:eastAsia="Calibri" w:hAnsi="Calibri" w:cs="Calibri"/>
          <w:color w:val="1A1A1A"/>
          <w:sz w:val="28"/>
          <w:szCs w:val="28"/>
          <w:lang w:val="fr-FR"/>
        </w:rPr>
        <w:t xml:space="preserve"> and Exceptions</w:t>
      </w:r>
    </w:p>
    <w:p w14:paraId="3F273189" w14:textId="77777777" w:rsidR="0018469C" w:rsidRPr="00A9425E" w:rsidRDefault="0018469C">
      <w:pPr>
        <w:pBdr>
          <w:top w:val="single" w:sz="6" w:space="0" w:color="2B5797"/>
        </w:pBdr>
        <w:spacing w:after="200"/>
        <w:rPr>
          <w:lang w:val="fr-FR"/>
        </w:rPr>
      </w:pPr>
    </w:p>
    <w:p w14:paraId="5DA43C9E" w14:textId="77777777" w:rsidR="0018469C" w:rsidRPr="00A9425E" w:rsidRDefault="00000000">
      <w:pPr>
        <w:pStyle w:val="Heading3"/>
        <w:spacing w:before="240" w:after="80" w:line="312" w:lineRule="auto"/>
        <w:rPr>
          <w:lang w:val="fr-FR"/>
        </w:rPr>
      </w:pPr>
      <w:r w:rsidRPr="00A9425E">
        <w:rPr>
          <w:rFonts w:ascii="Calibri" w:eastAsia="Calibri" w:hAnsi="Calibri" w:cs="Calibri"/>
          <w:color w:val="1A1A1A"/>
          <w:sz w:val="24"/>
          <w:szCs w:val="24"/>
          <w:lang w:val="fr-FR"/>
        </w:rPr>
        <w:t xml:space="preserve">11.1   Non-Compliance </w:t>
      </w:r>
      <w:proofErr w:type="spellStart"/>
      <w:r w:rsidRPr="00A9425E">
        <w:rPr>
          <w:rFonts w:ascii="Calibri" w:eastAsia="Calibri" w:hAnsi="Calibri" w:cs="Calibri"/>
          <w:color w:val="1A1A1A"/>
          <w:sz w:val="24"/>
          <w:szCs w:val="24"/>
          <w:lang w:val="fr-FR"/>
        </w:rPr>
        <w:t>Consequences</w:t>
      </w:r>
      <w:proofErr w:type="spellEnd"/>
    </w:p>
    <w:p w14:paraId="00B6702A" w14:textId="77777777" w:rsidR="0018469C" w:rsidRDefault="00000000">
      <w:pPr>
        <w:spacing w:before="60" w:after="120" w:line="360" w:lineRule="auto"/>
      </w:pPr>
      <w:r>
        <w:rPr>
          <w:rFonts w:ascii="Calibri" w:eastAsia="Calibri" w:hAnsi="Calibri" w:cs="Calibri"/>
          <w:b/>
          <w:bCs/>
          <w:color w:val="000000"/>
          <w:sz w:val="22"/>
          <w:szCs w:val="22"/>
        </w:rPr>
        <w:t>Bank Personnel.</w:t>
      </w:r>
      <w:r>
        <w:rPr>
          <w:rFonts w:ascii="Calibri" w:eastAsia="Calibri" w:hAnsi="Calibri" w:cs="Calibri"/>
          <w:color w:val="000000"/>
          <w:sz w:val="22"/>
          <w:szCs w:val="22"/>
        </w:rPr>
        <w:t xml:space="preserve"> Violations of this policy by bank employees, contractors, or contingent workers may result in disciplinary action commensurate with the nature and severity of the violation, up to and </w:t>
      </w:r>
      <w:r>
        <w:rPr>
          <w:rFonts w:ascii="Calibri" w:eastAsia="Calibri" w:hAnsi="Calibri" w:cs="Calibri"/>
          <w:color w:val="000000"/>
          <w:sz w:val="22"/>
          <w:szCs w:val="22"/>
        </w:rPr>
        <w:lastRenderedPageBreak/>
        <w:t>including termination of employment or engagement. Personnel who knowingly or recklessly circumvent KYC controls, fail to file required SARs, or enable AI impersonation of customers may also be referred to appropriate law enforcement or regulatory authorities.</w:t>
      </w:r>
    </w:p>
    <w:p w14:paraId="71F9AAE9" w14:textId="77777777" w:rsidR="0018469C" w:rsidRDefault="00000000">
      <w:pPr>
        <w:spacing w:before="60" w:after="120" w:line="360" w:lineRule="auto"/>
      </w:pPr>
      <w:r>
        <w:rPr>
          <w:rFonts w:ascii="Calibri" w:eastAsia="Calibri" w:hAnsi="Calibri" w:cs="Calibri"/>
          <w:b/>
          <w:bCs/>
          <w:color w:val="000000"/>
          <w:sz w:val="22"/>
          <w:szCs w:val="22"/>
        </w:rPr>
        <w:t>Third-Party Vendors.</w:t>
      </w:r>
      <w:r>
        <w:rPr>
          <w:rFonts w:ascii="Calibri" w:eastAsia="Calibri" w:hAnsi="Calibri" w:cs="Calibri"/>
          <w:color w:val="000000"/>
          <w:sz w:val="22"/>
          <w:szCs w:val="22"/>
        </w:rPr>
        <w:t xml:space="preserve"> Violations of this policy's requirements by third-party identity verification vendors or technology providers — including failure to meet attestation obligations, failure to disclose material model changes, or misrepresentation of detection capabilities — may result </w:t>
      </w:r>
      <w:proofErr w:type="gramStart"/>
      <w:r>
        <w:rPr>
          <w:rFonts w:ascii="Calibri" w:eastAsia="Calibri" w:hAnsi="Calibri" w:cs="Calibri"/>
          <w:color w:val="000000"/>
          <w:sz w:val="22"/>
          <w:szCs w:val="22"/>
        </w:rPr>
        <w:t>in:</w:t>
      </w:r>
      <w:proofErr w:type="gramEnd"/>
      <w:r>
        <w:rPr>
          <w:rFonts w:ascii="Calibri" w:eastAsia="Calibri" w:hAnsi="Calibri" w:cs="Calibri"/>
          <w:color w:val="000000"/>
          <w:sz w:val="22"/>
          <w:szCs w:val="22"/>
        </w:rPr>
        <w:t xml:space="preserve"> formal contract remediation notice; suspension of the vendor relationship pending investigation; contract termination; and/or referral to the institution's primary federal regulator.</w:t>
      </w:r>
    </w:p>
    <w:p w14:paraId="121E9A92" w14:textId="77777777" w:rsidR="0018469C" w:rsidRDefault="00000000">
      <w:pPr>
        <w:spacing w:before="60" w:after="120" w:line="360" w:lineRule="auto"/>
      </w:pPr>
      <w:r>
        <w:rPr>
          <w:rFonts w:ascii="Calibri" w:eastAsia="Calibri" w:hAnsi="Calibri" w:cs="Calibri"/>
          <w:b/>
          <w:bCs/>
          <w:color w:val="000000"/>
          <w:sz w:val="22"/>
          <w:szCs w:val="22"/>
        </w:rPr>
        <w:t>Regulatory Consequences.</w:t>
      </w:r>
      <w:r>
        <w:rPr>
          <w:rFonts w:ascii="Calibri" w:eastAsia="Calibri" w:hAnsi="Calibri" w:cs="Calibri"/>
          <w:color w:val="000000"/>
          <w:sz w:val="22"/>
          <w:szCs w:val="22"/>
        </w:rPr>
        <w:t xml:space="preserve"> The institution acknowledges that violations of the BSA, CIP Rule, CDD Rule, or other applicable law may result in civil money penalties, cease-and-desist orders, mandatory remediation plans, and reputational harm. The institution is committed to prompt and complete self-remediation of any identified compliance failure.</w:t>
      </w:r>
    </w:p>
    <w:p w14:paraId="3B1C7DAD" w14:textId="77777777" w:rsidR="0018469C" w:rsidRDefault="00000000">
      <w:pPr>
        <w:pStyle w:val="Heading3"/>
        <w:spacing w:before="240" w:after="80" w:line="312" w:lineRule="auto"/>
      </w:pPr>
      <w:r>
        <w:rPr>
          <w:rFonts w:ascii="Calibri" w:eastAsia="Calibri" w:hAnsi="Calibri" w:cs="Calibri"/>
          <w:color w:val="1A1A1A"/>
          <w:sz w:val="24"/>
          <w:szCs w:val="24"/>
        </w:rPr>
        <w:t>11.2   Customer Enforcement</w:t>
      </w:r>
    </w:p>
    <w:p w14:paraId="4F0E16E3" w14:textId="77777777" w:rsidR="0018469C" w:rsidRDefault="00000000">
      <w:pPr>
        <w:spacing w:before="60" w:after="120" w:line="360" w:lineRule="auto"/>
      </w:pPr>
      <w:r>
        <w:rPr>
          <w:rFonts w:ascii="Calibri" w:eastAsia="Calibri" w:hAnsi="Calibri" w:cs="Calibri"/>
          <w:color w:val="000000"/>
          <w:sz w:val="22"/>
          <w:szCs w:val="22"/>
        </w:rPr>
        <w:t xml:space="preserve">Customers who violate the human presence requirements of this </w:t>
      </w:r>
      <w:proofErr w:type="gramStart"/>
      <w:r>
        <w:rPr>
          <w:rFonts w:ascii="Calibri" w:eastAsia="Calibri" w:hAnsi="Calibri" w:cs="Calibri"/>
          <w:color w:val="000000"/>
          <w:sz w:val="22"/>
          <w:szCs w:val="22"/>
        </w:rPr>
        <w:t>policy,</w:t>
      </w:r>
      <w:proofErr w:type="gramEnd"/>
      <w:r>
        <w:rPr>
          <w:rFonts w:ascii="Calibri" w:eastAsia="Calibri" w:hAnsi="Calibri" w:cs="Calibri"/>
          <w:color w:val="000000"/>
          <w:sz w:val="22"/>
          <w:szCs w:val="22"/>
        </w:rPr>
        <w:t xml:space="preserve"> misrepresent or fail to disclose the use of agentic AI systems in the context of designated interactions, or provide false or misleading identity information are subject to the following consequences, applied in proportion to the severity and intent of the violation:</w:t>
      </w:r>
    </w:p>
    <w:p w14:paraId="6A90CF6A"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Temporary account restriction pending investigation;</w:t>
      </w:r>
    </w:p>
    <w:p w14:paraId="50720440"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Permanent account closure;</w:t>
      </w:r>
    </w:p>
    <w:p w14:paraId="4119F6EC"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SAR filing with FinCEN if applicable legal thresholds are met;</w:t>
      </w:r>
    </w:p>
    <w:p w14:paraId="1C229640"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Civil referral to applicable federal or state authorities;</w:t>
      </w:r>
    </w:p>
    <w:p w14:paraId="75EAD8E8"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Criminal referral to the U.S. Department of Justice, FBI, or applicable state law enforcement agencies where the conduct constitutes or may constitute bank fraud, identity fraud, or related offenses under 18 U.S.C. § 1344, 18 U.S.C. § 1028, or other applicable statutes.</w:t>
      </w:r>
    </w:p>
    <w:p w14:paraId="4D903D4F" w14:textId="77777777" w:rsidR="0018469C" w:rsidRDefault="00000000">
      <w:pPr>
        <w:pStyle w:val="Heading3"/>
        <w:spacing w:before="240" w:after="80" w:line="312" w:lineRule="auto"/>
      </w:pPr>
      <w:r>
        <w:rPr>
          <w:rFonts w:ascii="Calibri" w:eastAsia="Calibri" w:hAnsi="Calibri" w:cs="Calibri"/>
          <w:color w:val="1A1A1A"/>
          <w:sz w:val="24"/>
          <w:szCs w:val="24"/>
        </w:rPr>
        <w:t>11.3   Exception Process</w:t>
      </w:r>
    </w:p>
    <w:p w14:paraId="318CD172" w14:textId="77777777" w:rsidR="0018469C" w:rsidRDefault="00000000">
      <w:pPr>
        <w:spacing w:before="60" w:after="120" w:line="360" w:lineRule="auto"/>
      </w:pPr>
      <w:r>
        <w:rPr>
          <w:rFonts w:ascii="Calibri" w:eastAsia="Calibri" w:hAnsi="Calibri" w:cs="Calibri"/>
          <w:color w:val="000000"/>
          <w:sz w:val="22"/>
          <w:szCs w:val="22"/>
        </w:rPr>
        <w:t>Requests for exceptions to specific controls contained in this policy must satisfy all of the following requirements:</w:t>
      </w:r>
    </w:p>
    <w:p w14:paraId="024BE2C7"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lastRenderedPageBreak/>
        <w:t>Documented in writing, including a complete description of the control being excepted, the business or operational justification, the compensating controls to be applied, and the assessed residual risk;</w:t>
      </w:r>
    </w:p>
    <w:p w14:paraId="34479009"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Approved jointly in writing by the </w:t>
      </w:r>
      <w:r>
        <w:rPr>
          <w:rFonts w:ascii="Calibri" w:eastAsia="Calibri" w:hAnsi="Calibri" w:cs="Calibri"/>
          <w:b/>
          <w:bCs/>
          <w:color w:val="000000"/>
          <w:sz w:val="22"/>
          <w:szCs w:val="22"/>
        </w:rPr>
        <w:t>Chief Compliance Officer</w:t>
      </w:r>
      <w:r>
        <w:rPr>
          <w:rFonts w:ascii="Calibri" w:eastAsia="Calibri" w:hAnsi="Calibri" w:cs="Calibri"/>
          <w:color w:val="000000"/>
          <w:sz w:val="22"/>
          <w:szCs w:val="22"/>
        </w:rPr>
        <w:t xml:space="preserve"> and the </w:t>
      </w:r>
      <w:r>
        <w:rPr>
          <w:rFonts w:ascii="Calibri" w:eastAsia="Calibri" w:hAnsi="Calibri" w:cs="Calibri"/>
          <w:b/>
          <w:bCs/>
          <w:color w:val="000000"/>
          <w:sz w:val="22"/>
          <w:szCs w:val="22"/>
        </w:rPr>
        <w:t>Chief Risk Officer</w:t>
      </w:r>
      <w:r>
        <w:rPr>
          <w:rFonts w:ascii="Calibri" w:eastAsia="Calibri" w:hAnsi="Calibri" w:cs="Calibri"/>
          <w:color w:val="000000"/>
          <w:sz w:val="22"/>
          <w:szCs w:val="22"/>
        </w:rPr>
        <w:t>;</w:t>
      </w:r>
    </w:p>
    <w:p w14:paraId="386D7566"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Time-limited, with a maximum duration of ninety (90) calendar days, after which the exception must be re-evaluated and re-approved or the underlying control reinstated;</w:t>
      </w:r>
    </w:p>
    <w:p w14:paraId="5A3DA983"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Logged in the institution's </w:t>
      </w:r>
      <w:r>
        <w:rPr>
          <w:rFonts w:ascii="Calibri" w:eastAsia="Calibri" w:hAnsi="Calibri" w:cs="Calibri"/>
          <w:b/>
          <w:bCs/>
          <w:color w:val="000000"/>
          <w:sz w:val="22"/>
          <w:szCs w:val="22"/>
        </w:rPr>
        <w:t>Policy Exception Register</w:t>
      </w:r>
      <w:r>
        <w:rPr>
          <w:rFonts w:ascii="Calibri" w:eastAsia="Calibri" w:hAnsi="Calibri" w:cs="Calibri"/>
          <w:color w:val="000000"/>
          <w:sz w:val="22"/>
          <w:szCs w:val="22"/>
        </w:rPr>
        <w:t>, which is reviewed by Internal Audit and reported to the Risk Committee quarterly.</w:t>
      </w:r>
    </w:p>
    <w:p w14:paraId="0A9CF02B" w14:textId="77777777" w:rsidR="0018469C" w:rsidRDefault="0018469C">
      <w:pPr>
        <w:spacing w:before="240"/>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344"/>
      </w:tblGrid>
      <w:tr w:rsidR="0018469C" w14:paraId="71D75854" w14:textId="77777777">
        <w:tc>
          <w:tcPr>
            <w:tcW w:w="0" w:type="auto"/>
            <w:tcBorders>
              <w:top w:val="single" w:sz="6" w:space="0" w:color="2B5797"/>
              <w:left w:val="single" w:sz="6" w:space="0" w:color="2B5797"/>
              <w:bottom w:val="single" w:sz="6" w:space="0" w:color="2B5797"/>
              <w:right w:val="single" w:sz="6" w:space="0" w:color="2B5797"/>
            </w:tcBorders>
            <w:shd w:val="clear" w:color="auto" w:fill="FCE8E8"/>
            <w:tcMar>
              <w:top w:w="150" w:type="dxa"/>
              <w:left w:w="210" w:type="dxa"/>
              <w:bottom w:w="150" w:type="dxa"/>
              <w:right w:w="210" w:type="dxa"/>
            </w:tcMar>
          </w:tcPr>
          <w:p w14:paraId="41B65279" w14:textId="77777777" w:rsidR="0018469C" w:rsidRDefault="00000000">
            <w:pPr>
              <w:spacing w:after="60" w:line="360" w:lineRule="auto"/>
            </w:pPr>
            <w:r>
              <w:rPr>
                <w:rFonts w:ascii="Calibri" w:eastAsia="Calibri" w:hAnsi="Calibri" w:cs="Calibri"/>
                <w:b/>
                <w:bCs/>
                <w:color w:val="2B5797"/>
                <w:sz w:val="22"/>
                <w:szCs w:val="22"/>
              </w:rPr>
              <w:t>Absolute Restriction</w:t>
            </w:r>
          </w:p>
          <w:p w14:paraId="0A86D649" w14:textId="77777777" w:rsidR="0018469C" w:rsidRDefault="00000000">
            <w:pPr>
              <w:spacing w:line="360" w:lineRule="auto"/>
            </w:pPr>
            <w:r>
              <w:rPr>
                <w:rFonts w:ascii="Calibri" w:eastAsia="Calibri" w:hAnsi="Calibri" w:cs="Calibri"/>
                <w:color w:val="000000"/>
                <w:sz w:val="22"/>
                <w:szCs w:val="22"/>
              </w:rPr>
              <w:t>No exception may waive, reduce, or defer the core CIP and CDD legal minimum requirements established under federal law, including 31 CFR 1020.220 and 31 CFR 1010.230. These requirements are non-negotiable and non-waivable by any internal exception process. Any apparent conflict between an exception request and applicable federal law must be referred immediately to Legal Counsel.</w:t>
            </w:r>
          </w:p>
        </w:tc>
      </w:tr>
    </w:tbl>
    <w:p w14:paraId="6D6475FD" w14:textId="77777777" w:rsidR="0018469C" w:rsidRDefault="0018469C">
      <w:pPr>
        <w:spacing w:after="240"/>
      </w:pPr>
    </w:p>
    <w:p w14:paraId="420F6545" w14:textId="77777777" w:rsidR="0018469C" w:rsidRDefault="00000000">
      <w:pPr>
        <w:pStyle w:val="Heading3"/>
        <w:spacing w:before="240" w:after="80" w:line="312" w:lineRule="auto"/>
      </w:pPr>
      <w:r>
        <w:rPr>
          <w:rFonts w:ascii="Calibri" w:eastAsia="Calibri" w:hAnsi="Calibri" w:cs="Calibri"/>
          <w:color w:val="1A1A1A"/>
          <w:sz w:val="24"/>
          <w:szCs w:val="24"/>
        </w:rPr>
        <w:t>11.4   Policy Review and Updates</w:t>
      </w:r>
    </w:p>
    <w:p w14:paraId="63ACD35E" w14:textId="77777777" w:rsidR="0018469C" w:rsidRDefault="00000000">
      <w:pPr>
        <w:spacing w:before="60" w:after="120" w:line="360" w:lineRule="auto"/>
      </w:pPr>
      <w:r>
        <w:rPr>
          <w:rFonts w:ascii="Calibri" w:eastAsia="Calibri" w:hAnsi="Calibri" w:cs="Calibri"/>
          <w:color w:val="000000"/>
          <w:sz w:val="22"/>
          <w:szCs w:val="22"/>
        </w:rPr>
        <w:t>This policy shall be reviewed formally by the CCO on an annual basis and updated no less frequently than every twelve (12) months. Notwithstanding the foregoing, an off-cycle review and update shall be initiated promptly upon any of the following triggering events:</w:t>
      </w:r>
    </w:p>
    <w:p w14:paraId="7835AC0A"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 material change in applicable federal or state law or regulation affecting digital identity, beneficial ownership, AML/CFT, or AI governance;</w:t>
      </w:r>
    </w:p>
    <w:p w14:paraId="3E15F53E"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 material shift in the AI-enabled fraud threat landscape, as evidenced by published threat intelligence, regulatory advisories, or vendor incident disclosures;</w:t>
      </w:r>
    </w:p>
    <w:p w14:paraId="6B6E1DDE"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Material findings from the Internal Audit KYC program review indicating control deficiencies;</w:t>
      </w:r>
    </w:p>
    <w:p w14:paraId="7A7CBF63"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 significant control failure, including any confirmed AI impersonation incident that successfully circumvented the institution's controls; or</w:t>
      </w:r>
    </w:p>
    <w:p w14:paraId="1EC72EFB"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Direction from the Board of Directors, Risk Committee, or primary federal regulator.</w:t>
      </w:r>
    </w:p>
    <w:p w14:paraId="5A6209F4" w14:textId="77777777" w:rsidR="0018469C" w:rsidRDefault="0018469C">
      <w:pPr>
        <w:pBdr>
          <w:bottom w:val="single" w:sz="6" w:space="0" w:color="000000"/>
        </w:pBdr>
        <w:spacing w:before="240" w:after="240"/>
      </w:pPr>
    </w:p>
    <w:p w14:paraId="7E24CD5F" w14:textId="77777777" w:rsidR="0018469C" w:rsidRDefault="00000000">
      <w:pPr>
        <w:pStyle w:val="Heading2"/>
        <w:spacing w:before="360" w:after="100" w:line="312" w:lineRule="auto"/>
      </w:pPr>
      <w:r>
        <w:rPr>
          <w:rFonts w:ascii="Calibri" w:eastAsia="Calibri" w:hAnsi="Calibri" w:cs="Calibri"/>
          <w:color w:val="1A1A1A"/>
          <w:sz w:val="28"/>
          <w:szCs w:val="28"/>
        </w:rPr>
        <w:t>Appendices</w:t>
      </w:r>
    </w:p>
    <w:p w14:paraId="64E7BFC1" w14:textId="77777777" w:rsidR="0018469C" w:rsidRDefault="0018469C">
      <w:pPr>
        <w:pBdr>
          <w:top w:val="single" w:sz="6" w:space="0" w:color="2B5797"/>
        </w:pBdr>
        <w:spacing w:after="200"/>
      </w:pPr>
    </w:p>
    <w:p w14:paraId="29B42DE6" w14:textId="77777777" w:rsidR="0018469C" w:rsidRDefault="00000000">
      <w:pPr>
        <w:spacing w:before="320" w:after="80" w:line="360" w:lineRule="auto"/>
      </w:pPr>
      <w:r>
        <w:rPr>
          <w:rFonts w:ascii="Calibri" w:eastAsia="Calibri" w:hAnsi="Calibri" w:cs="Calibri"/>
          <w:b/>
          <w:bCs/>
          <w:color w:val="1A1A1A"/>
        </w:rPr>
        <w:t>Appendix A – Glossary Cross-Reference</w:t>
      </w:r>
    </w:p>
    <w:p w14:paraId="0051A1C8" w14:textId="77777777" w:rsidR="0018469C" w:rsidRDefault="00000000">
      <w:pPr>
        <w:spacing w:before="60" w:after="120" w:line="360" w:lineRule="auto"/>
      </w:pPr>
      <w:r>
        <w:rPr>
          <w:rFonts w:ascii="Calibri" w:eastAsia="Calibri" w:hAnsi="Calibri" w:cs="Calibri"/>
          <w:color w:val="000000"/>
          <w:sz w:val="22"/>
          <w:szCs w:val="22"/>
        </w:rPr>
        <w:t xml:space="preserve">All defined terms used throughout this policy are set forth in </w:t>
      </w:r>
      <w:r>
        <w:rPr>
          <w:rFonts w:ascii="Calibri" w:eastAsia="Calibri" w:hAnsi="Calibri" w:cs="Calibri"/>
          <w:b/>
          <w:bCs/>
          <w:color w:val="000000"/>
          <w:sz w:val="22"/>
          <w:szCs w:val="22"/>
        </w:rPr>
        <w:t>Section 3.0 (Definitions)</w:t>
      </w:r>
      <w:r>
        <w:rPr>
          <w:rFonts w:ascii="Calibri" w:eastAsia="Calibri" w:hAnsi="Calibri" w:cs="Calibri"/>
          <w:color w:val="000000"/>
          <w:sz w:val="22"/>
          <w:szCs w:val="22"/>
        </w:rPr>
        <w:t>. Capitalized terms appearing in this policy that are not defined in Section 3.0 shall have the meanings ascribed to them under the Bank Secrecy Act (31 U.S.C. §§ 5311–5330), the FinCEN CIP Rule (31 CFR 1020.220), the FinCEN CDD Rule (31 CFR 1010.230), or other applicable federal law and regulation. In the event of a conflict between a definition in Section 3.0 and the definition in applicable federal law, the federal law definition controls.</w:t>
      </w:r>
    </w:p>
    <w:p w14:paraId="56B8253C" w14:textId="77777777" w:rsidR="0018469C" w:rsidRDefault="00000000">
      <w:pPr>
        <w:spacing w:before="320" w:after="80" w:line="360" w:lineRule="auto"/>
      </w:pPr>
      <w:r>
        <w:rPr>
          <w:rFonts w:ascii="Calibri" w:eastAsia="Calibri" w:hAnsi="Calibri" w:cs="Calibri"/>
          <w:b/>
          <w:bCs/>
          <w:color w:val="1A1A1A"/>
        </w:rPr>
        <w:t>Appendix B – Related Policies</w:t>
      </w:r>
    </w:p>
    <w:p w14:paraId="717955BF" w14:textId="77777777" w:rsidR="0018469C" w:rsidRDefault="00000000">
      <w:pPr>
        <w:spacing w:before="60" w:after="120" w:line="360" w:lineRule="auto"/>
      </w:pPr>
      <w:r>
        <w:rPr>
          <w:rFonts w:ascii="Calibri" w:eastAsia="Calibri" w:hAnsi="Calibri" w:cs="Calibri"/>
          <w:color w:val="000000"/>
          <w:sz w:val="22"/>
          <w:szCs w:val="22"/>
        </w:rPr>
        <w:t>This policy should be read in conjunction with the following institution policies and procedures, which together constitute the institution's comprehensive compliance and risk management framework:</w:t>
      </w:r>
    </w:p>
    <w:p w14:paraId="56DB7EA4"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AML / BSA Policy</w:t>
      </w:r>
    </w:p>
    <w:p w14:paraId="3D9635F7"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Third-Party Risk Management Policy</w:t>
      </w:r>
    </w:p>
    <w:p w14:paraId="46A11D25"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Information Security Policy</w:t>
      </w:r>
    </w:p>
    <w:p w14:paraId="2DE7FB2B"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Data Privacy Policy</w:t>
      </w:r>
    </w:p>
    <w:p w14:paraId="379B7B96"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Acceptable Use Policy</w:t>
      </w:r>
    </w:p>
    <w:p w14:paraId="62E0F099"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 xml:space="preserve">AI Governance Policy </w:t>
      </w:r>
      <w:r>
        <w:rPr>
          <w:rFonts w:ascii="Calibri" w:eastAsia="Calibri" w:hAnsi="Calibri" w:cs="Calibri"/>
          <w:i/>
          <w:iCs/>
          <w:color w:val="000000"/>
          <w:sz w:val="22"/>
          <w:szCs w:val="22"/>
        </w:rPr>
        <w:t>(in development; effective date to be determined)</w:t>
      </w:r>
    </w:p>
    <w:p w14:paraId="6A7B05E1"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Customer Authentication Policy</w:t>
      </w:r>
    </w:p>
    <w:p w14:paraId="0C9D82F3"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Suspicious Activity Reporting Procedures</w:t>
      </w:r>
    </w:p>
    <w:p w14:paraId="11B56192" w14:textId="77777777" w:rsidR="0018469C" w:rsidRDefault="00000000">
      <w:pPr>
        <w:pStyle w:val="ListParagraph"/>
        <w:numPr>
          <w:ilvl w:val="0"/>
          <w:numId w:val="1"/>
        </w:numPr>
        <w:spacing w:after="60" w:line="408" w:lineRule="auto"/>
      </w:pPr>
      <w:r>
        <w:rPr>
          <w:rFonts w:ascii="Calibri" w:eastAsia="Calibri" w:hAnsi="Calibri" w:cs="Calibri"/>
          <w:color w:val="000000"/>
          <w:sz w:val="22"/>
          <w:szCs w:val="22"/>
        </w:rPr>
        <w:t>Sanctions Compliance Policy</w:t>
      </w:r>
    </w:p>
    <w:p w14:paraId="766CE7D7" w14:textId="77777777" w:rsidR="0018469C" w:rsidRDefault="00000000">
      <w:pPr>
        <w:spacing w:before="320" w:after="80" w:line="360" w:lineRule="auto"/>
      </w:pPr>
      <w:r>
        <w:rPr>
          <w:rFonts w:ascii="Calibri" w:eastAsia="Calibri" w:hAnsi="Calibri" w:cs="Calibri"/>
          <w:b/>
          <w:bCs/>
          <w:color w:val="1A1A1A"/>
        </w:rPr>
        <w:t>Appendix C – Revision History</w:t>
      </w:r>
    </w:p>
    <w:p w14:paraId="4B072016" w14:textId="77777777" w:rsidR="0018469C" w:rsidRDefault="0018469C">
      <w:pPr>
        <w:spacing w:before="200"/>
      </w:pPr>
    </w:p>
    <w:tbl>
      <w:tblPr>
        <w:tblW w:w="5000" w:type="pct"/>
        <w:tblBorders>
          <w:top w:val="single" w:sz="4" w:space="0" w:color="E5E7EB"/>
          <w:left w:val="single" w:sz="4" w:space="0" w:color="E5E7EB"/>
          <w:bottom w:val="single" w:sz="4" w:space="0" w:color="E5E7EB"/>
          <w:right w:val="single" w:sz="4" w:space="0" w:color="E5E7EB"/>
          <w:insideH w:val="single" w:sz="4" w:space="0" w:color="E5E7EB"/>
          <w:insideV w:val="single" w:sz="4" w:space="0" w:color="E5E7EB"/>
        </w:tblBorders>
        <w:tblCellMar>
          <w:left w:w="10" w:type="dxa"/>
          <w:right w:w="10" w:type="dxa"/>
        </w:tblCellMar>
        <w:tblLook w:val="04A0" w:firstRow="1" w:lastRow="0" w:firstColumn="1" w:lastColumn="0" w:noHBand="0" w:noVBand="1"/>
      </w:tblPr>
      <w:tblGrid>
        <w:gridCol w:w="904"/>
        <w:gridCol w:w="993"/>
        <w:gridCol w:w="1224"/>
        <w:gridCol w:w="6229"/>
      </w:tblGrid>
      <w:tr w:rsidR="0018469C" w14:paraId="52F73FF2" w14:textId="77777777">
        <w:trPr>
          <w:tblHeader/>
        </w:trPr>
        <w:tc>
          <w:tcPr>
            <w:tcW w:w="450" w:type="pct"/>
            <w:shd w:val="clear" w:color="auto" w:fill="E8EEF7"/>
            <w:tcMar>
              <w:top w:w="90" w:type="dxa"/>
              <w:left w:w="135" w:type="dxa"/>
              <w:bottom w:w="90" w:type="dxa"/>
              <w:right w:w="135" w:type="dxa"/>
            </w:tcMar>
          </w:tcPr>
          <w:p w14:paraId="6B66C4EE" w14:textId="77777777" w:rsidR="0018469C" w:rsidRDefault="00000000">
            <w:r>
              <w:rPr>
                <w:rFonts w:ascii="Calibri" w:eastAsia="Calibri" w:hAnsi="Calibri" w:cs="Calibri"/>
                <w:b/>
                <w:bCs/>
                <w:color w:val="000000"/>
                <w:sz w:val="20"/>
                <w:szCs w:val="20"/>
              </w:rPr>
              <w:lastRenderedPageBreak/>
              <w:t>Version</w:t>
            </w:r>
          </w:p>
        </w:tc>
        <w:tc>
          <w:tcPr>
            <w:tcW w:w="550" w:type="pct"/>
            <w:shd w:val="clear" w:color="auto" w:fill="E8EEF7"/>
            <w:tcMar>
              <w:top w:w="90" w:type="dxa"/>
              <w:left w:w="135" w:type="dxa"/>
              <w:bottom w:w="90" w:type="dxa"/>
              <w:right w:w="135" w:type="dxa"/>
            </w:tcMar>
          </w:tcPr>
          <w:p w14:paraId="609DCF9A" w14:textId="77777777" w:rsidR="0018469C" w:rsidRDefault="00000000">
            <w:r>
              <w:rPr>
                <w:rFonts w:ascii="Calibri" w:eastAsia="Calibri" w:hAnsi="Calibri" w:cs="Calibri"/>
                <w:b/>
                <w:bCs/>
                <w:color w:val="000000"/>
                <w:sz w:val="20"/>
                <w:szCs w:val="20"/>
              </w:rPr>
              <w:t>Date</w:t>
            </w:r>
          </w:p>
        </w:tc>
        <w:tc>
          <w:tcPr>
            <w:tcW w:w="650" w:type="pct"/>
            <w:shd w:val="clear" w:color="auto" w:fill="E8EEF7"/>
            <w:tcMar>
              <w:top w:w="90" w:type="dxa"/>
              <w:left w:w="135" w:type="dxa"/>
              <w:bottom w:w="90" w:type="dxa"/>
              <w:right w:w="135" w:type="dxa"/>
            </w:tcMar>
          </w:tcPr>
          <w:p w14:paraId="21322B94" w14:textId="77777777" w:rsidR="0018469C" w:rsidRDefault="00000000">
            <w:r>
              <w:rPr>
                <w:rFonts w:ascii="Calibri" w:eastAsia="Calibri" w:hAnsi="Calibri" w:cs="Calibri"/>
                <w:b/>
                <w:bCs/>
                <w:color w:val="000000"/>
                <w:sz w:val="20"/>
                <w:szCs w:val="20"/>
              </w:rPr>
              <w:t>Author</w:t>
            </w:r>
          </w:p>
        </w:tc>
        <w:tc>
          <w:tcPr>
            <w:tcW w:w="3350" w:type="pct"/>
            <w:shd w:val="clear" w:color="auto" w:fill="E8EEF7"/>
            <w:tcMar>
              <w:top w:w="90" w:type="dxa"/>
              <w:left w:w="135" w:type="dxa"/>
              <w:bottom w:w="90" w:type="dxa"/>
              <w:right w:w="135" w:type="dxa"/>
            </w:tcMar>
          </w:tcPr>
          <w:p w14:paraId="1CBE7E12" w14:textId="77777777" w:rsidR="0018469C" w:rsidRDefault="00000000">
            <w:r>
              <w:rPr>
                <w:rFonts w:ascii="Calibri" w:eastAsia="Calibri" w:hAnsi="Calibri" w:cs="Calibri"/>
                <w:b/>
                <w:bCs/>
                <w:color w:val="000000"/>
                <w:sz w:val="20"/>
                <w:szCs w:val="20"/>
              </w:rPr>
              <w:t>Summary of Changes</w:t>
            </w:r>
          </w:p>
        </w:tc>
      </w:tr>
      <w:tr w:rsidR="0018469C" w14:paraId="47C573A8" w14:textId="77777777">
        <w:tc>
          <w:tcPr>
            <w:tcW w:w="450" w:type="pct"/>
            <w:tcMar>
              <w:top w:w="90" w:type="dxa"/>
              <w:left w:w="135" w:type="dxa"/>
              <w:bottom w:w="90" w:type="dxa"/>
              <w:right w:w="135" w:type="dxa"/>
            </w:tcMar>
          </w:tcPr>
          <w:p w14:paraId="725D04B9" w14:textId="77777777" w:rsidR="0018469C" w:rsidRDefault="00000000">
            <w:r>
              <w:rPr>
                <w:rFonts w:ascii="Calibri" w:eastAsia="Calibri" w:hAnsi="Calibri" w:cs="Calibri"/>
                <w:color w:val="000000"/>
                <w:sz w:val="20"/>
                <w:szCs w:val="20"/>
              </w:rPr>
              <w:t>1.0</w:t>
            </w:r>
          </w:p>
        </w:tc>
        <w:tc>
          <w:tcPr>
            <w:tcW w:w="550" w:type="pct"/>
            <w:tcMar>
              <w:top w:w="90" w:type="dxa"/>
              <w:left w:w="135" w:type="dxa"/>
              <w:bottom w:w="90" w:type="dxa"/>
              <w:right w:w="135" w:type="dxa"/>
            </w:tcMar>
          </w:tcPr>
          <w:p w14:paraId="758B16EE" w14:textId="77777777" w:rsidR="0018469C" w:rsidRDefault="00000000">
            <w:r>
              <w:rPr>
                <w:rFonts w:ascii="Calibri" w:eastAsia="Calibri" w:hAnsi="Calibri" w:cs="Calibri"/>
                <w:color w:val="000000"/>
                <w:sz w:val="20"/>
                <w:szCs w:val="20"/>
              </w:rPr>
              <w:t>August 4, 2026</w:t>
            </w:r>
          </w:p>
        </w:tc>
        <w:tc>
          <w:tcPr>
            <w:tcW w:w="650" w:type="pct"/>
            <w:tcMar>
              <w:top w:w="90" w:type="dxa"/>
              <w:left w:w="135" w:type="dxa"/>
              <w:bottom w:w="90" w:type="dxa"/>
              <w:right w:w="135" w:type="dxa"/>
            </w:tcMar>
          </w:tcPr>
          <w:p w14:paraId="73FB8DB0" w14:textId="77777777" w:rsidR="0018469C" w:rsidRDefault="00000000">
            <w:r>
              <w:rPr>
                <w:rFonts w:ascii="Calibri" w:eastAsia="Calibri" w:hAnsi="Calibri" w:cs="Calibri"/>
                <w:color w:val="000000"/>
                <w:sz w:val="20"/>
                <w:szCs w:val="20"/>
              </w:rPr>
              <w:t>Chief Compliance Officer</w:t>
            </w:r>
          </w:p>
        </w:tc>
        <w:tc>
          <w:tcPr>
            <w:tcW w:w="3350" w:type="pct"/>
            <w:tcMar>
              <w:top w:w="90" w:type="dxa"/>
              <w:left w:w="135" w:type="dxa"/>
              <w:bottom w:w="90" w:type="dxa"/>
              <w:right w:w="135" w:type="dxa"/>
            </w:tcMar>
          </w:tcPr>
          <w:p w14:paraId="14778211" w14:textId="77777777" w:rsidR="0018469C" w:rsidRDefault="00000000">
            <w:r>
              <w:rPr>
                <w:rFonts w:ascii="Calibri" w:eastAsia="Calibri" w:hAnsi="Calibri" w:cs="Calibri"/>
                <w:color w:val="000000"/>
                <w:sz w:val="20"/>
                <w:szCs w:val="20"/>
              </w:rPr>
              <w:t>Initial issuance. Establishes the institution's KYC framework for online banking channels with specific controls addressing agentic AI impersonation risk. Incorporates multi-signal verification architecture, human presence requirements, biometric standards, and governance framework.</w:t>
            </w:r>
          </w:p>
        </w:tc>
      </w:tr>
    </w:tbl>
    <w:p w14:paraId="7CF2D7AF" w14:textId="77777777" w:rsidR="0018469C" w:rsidRDefault="0018469C">
      <w:pPr>
        <w:spacing w:after="200"/>
      </w:pPr>
    </w:p>
    <w:p w14:paraId="0B4944BF" w14:textId="77777777" w:rsidR="0018469C" w:rsidRDefault="0018469C">
      <w:pPr>
        <w:pBdr>
          <w:bottom w:val="single" w:sz="6" w:space="0" w:color="000000"/>
        </w:pBdr>
        <w:spacing w:before="240" w:after="240"/>
      </w:pPr>
    </w:p>
    <w:p w14:paraId="14DF03B8" w14:textId="77777777" w:rsidR="0018469C" w:rsidRDefault="00000000">
      <w:pPr>
        <w:pStyle w:val="Heading2"/>
        <w:spacing w:before="360" w:after="100" w:line="312" w:lineRule="auto"/>
      </w:pPr>
      <w:r>
        <w:rPr>
          <w:rFonts w:ascii="Calibri" w:eastAsia="Calibri" w:hAnsi="Calibri" w:cs="Calibri"/>
          <w:color w:val="1A1A1A"/>
          <w:sz w:val="28"/>
          <w:szCs w:val="28"/>
        </w:rPr>
        <w:t>Policy Approval and Attestation</w:t>
      </w:r>
    </w:p>
    <w:p w14:paraId="4A9E6363" w14:textId="77777777" w:rsidR="0018469C" w:rsidRDefault="0018469C">
      <w:pPr>
        <w:pBdr>
          <w:top w:val="single" w:sz="6" w:space="0" w:color="2B5797"/>
        </w:pBdr>
        <w:spacing w:after="200"/>
      </w:pPr>
    </w:p>
    <w:p w14:paraId="3957B9FC" w14:textId="77777777" w:rsidR="0018469C" w:rsidRDefault="00000000">
      <w:pPr>
        <w:spacing w:before="60" w:after="120" w:line="360" w:lineRule="auto"/>
      </w:pPr>
      <w:r>
        <w:rPr>
          <w:rFonts w:ascii="Calibri" w:eastAsia="Calibri" w:hAnsi="Calibri" w:cs="Calibri"/>
          <w:color w:val="000000"/>
          <w:sz w:val="22"/>
          <w:szCs w:val="22"/>
        </w:rPr>
        <w:t xml:space="preserve">By signing below, the undersigned certify that they have reviewed this policy, confirm that it accurately reflects the institution's KYC requirements and governance framework, and approve it for implementation </w:t>
      </w:r>
      <w:proofErr w:type="gramStart"/>
      <w:r>
        <w:rPr>
          <w:rFonts w:ascii="Calibri" w:eastAsia="Calibri" w:hAnsi="Calibri" w:cs="Calibri"/>
          <w:color w:val="000000"/>
          <w:sz w:val="22"/>
          <w:szCs w:val="22"/>
        </w:rPr>
        <w:t>effective</w:t>
      </w:r>
      <w:proofErr w:type="gramEnd"/>
      <w:r>
        <w:rPr>
          <w:rFonts w:ascii="Calibri" w:eastAsia="Calibri" w:hAnsi="Calibri" w:cs="Calibri"/>
          <w:color w:val="000000"/>
          <w:sz w:val="22"/>
          <w:szCs w:val="22"/>
        </w:rPr>
        <w:t xml:space="preserve"> as of the date stated on the cover of this document.</w:t>
      </w:r>
    </w:p>
    <w:p w14:paraId="7586DD66" w14:textId="77777777" w:rsidR="0018469C" w:rsidRDefault="0018469C">
      <w:pPr>
        <w:pBdr>
          <w:bottom w:val="single" w:sz="6" w:space="0" w:color="000000"/>
        </w:pBdr>
        <w:spacing w:before="240" w:after="240"/>
      </w:pPr>
    </w:p>
    <w:p w14:paraId="51E87EA0" w14:textId="77777777" w:rsidR="0018469C" w:rsidRDefault="00000000">
      <w:pPr>
        <w:spacing w:before="60" w:after="120" w:line="360" w:lineRule="auto"/>
      </w:pPr>
      <w:r>
        <w:rPr>
          <w:rFonts w:ascii="Calibri" w:eastAsia="Calibri" w:hAnsi="Calibri" w:cs="Calibri"/>
          <w:b/>
          <w:bCs/>
          <w:color w:val="000000"/>
          <w:sz w:val="20"/>
          <w:szCs w:val="20"/>
        </w:rPr>
        <w:t>Chief Compliance Officer</w:t>
      </w:r>
    </w:p>
    <w:p w14:paraId="5F4EA19B" w14:textId="77777777" w:rsidR="0018469C" w:rsidRDefault="00000000">
      <w:pPr>
        <w:spacing w:before="60" w:after="120" w:line="360" w:lineRule="auto"/>
      </w:pPr>
      <w:r>
        <w:rPr>
          <w:rFonts w:ascii="Calibri" w:eastAsia="Calibri" w:hAnsi="Calibri" w:cs="Calibri"/>
          <w:color w:val="555555"/>
          <w:sz w:val="18"/>
          <w:szCs w:val="18"/>
        </w:rPr>
        <w:t>Policy Owner – Know Your Customer (KYC) Policy</w:t>
      </w:r>
    </w:p>
    <w:p w14:paraId="669A9D36" w14:textId="77777777" w:rsidR="0018469C" w:rsidRDefault="0018469C">
      <w:pPr>
        <w:pBdr>
          <w:bottom w:val="single" w:sz="6" w:space="0" w:color="000000"/>
        </w:pBdr>
        <w:spacing w:before="240" w:after="240"/>
      </w:pPr>
    </w:p>
    <w:p w14:paraId="548DFBA7" w14:textId="77777777" w:rsidR="0018469C" w:rsidRDefault="00000000">
      <w:pPr>
        <w:spacing w:before="60" w:after="120" w:line="360" w:lineRule="auto"/>
      </w:pPr>
      <w:r>
        <w:rPr>
          <w:rFonts w:ascii="Calibri" w:eastAsia="Calibri" w:hAnsi="Calibri" w:cs="Calibri"/>
          <w:color w:val="555555"/>
          <w:sz w:val="18"/>
          <w:szCs w:val="18"/>
        </w:rPr>
        <w:t>Date</w:t>
      </w:r>
    </w:p>
    <w:p w14:paraId="65FC2A1B" w14:textId="77777777" w:rsidR="0018469C" w:rsidRDefault="0018469C">
      <w:pPr>
        <w:pBdr>
          <w:bottom w:val="single" w:sz="6" w:space="0" w:color="000000"/>
        </w:pBdr>
        <w:spacing w:before="240" w:after="240"/>
      </w:pPr>
    </w:p>
    <w:p w14:paraId="15E831FE" w14:textId="77777777" w:rsidR="0018469C" w:rsidRDefault="00000000">
      <w:pPr>
        <w:spacing w:before="60" w:after="120" w:line="360" w:lineRule="auto"/>
      </w:pPr>
      <w:r>
        <w:rPr>
          <w:rFonts w:ascii="Calibri" w:eastAsia="Calibri" w:hAnsi="Calibri" w:cs="Calibri"/>
          <w:b/>
          <w:bCs/>
          <w:color w:val="000000"/>
          <w:sz w:val="20"/>
          <w:szCs w:val="20"/>
        </w:rPr>
        <w:t>Chief Risk Officer</w:t>
      </w:r>
    </w:p>
    <w:p w14:paraId="07D28B22" w14:textId="77777777" w:rsidR="0018469C" w:rsidRDefault="00000000">
      <w:pPr>
        <w:spacing w:before="60" w:after="120" w:line="360" w:lineRule="auto"/>
      </w:pPr>
      <w:r>
        <w:rPr>
          <w:rFonts w:ascii="Calibri" w:eastAsia="Calibri" w:hAnsi="Calibri" w:cs="Calibri"/>
          <w:color w:val="555555"/>
          <w:sz w:val="18"/>
          <w:szCs w:val="18"/>
        </w:rPr>
        <w:t>Enterprise Risk Oversight</w:t>
      </w:r>
    </w:p>
    <w:p w14:paraId="3330511F" w14:textId="77777777" w:rsidR="0018469C" w:rsidRDefault="0018469C">
      <w:pPr>
        <w:pBdr>
          <w:bottom w:val="single" w:sz="6" w:space="0" w:color="000000"/>
        </w:pBdr>
        <w:spacing w:before="240" w:after="240"/>
      </w:pPr>
    </w:p>
    <w:p w14:paraId="5FA4EDD3" w14:textId="77777777" w:rsidR="0018469C" w:rsidRDefault="00000000">
      <w:pPr>
        <w:spacing w:before="60" w:after="120" w:line="360" w:lineRule="auto"/>
      </w:pPr>
      <w:r>
        <w:rPr>
          <w:rFonts w:ascii="Calibri" w:eastAsia="Calibri" w:hAnsi="Calibri" w:cs="Calibri"/>
          <w:color w:val="555555"/>
          <w:sz w:val="18"/>
          <w:szCs w:val="18"/>
        </w:rPr>
        <w:t>Date</w:t>
      </w:r>
    </w:p>
    <w:p w14:paraId="55449024" w14:textId="77777777" w:rsidR="0018469C" w:rsidRDefault="0018469C">
      <w:pPr>
        <w:pBdr>
          <w:bottom w:val="single" w:sz="6" w:space="0" w:color="000000"/>
        </w:pBdr>
        <w:spacing w:before="240" w:after="240"/>
      </w:pPr>
    </w:p>
    <w:p w14:paraId="425AA2C6" w14:textId="77777777" w:rsidR="0018469C" w:rsidRDefault="00000000">
      <w:pPr>
        <w:spacing w:before="60" w:after="120" w:line="360" w:lineRule="auto"/>
      </w:pPr>
      <w:r>
        <w:rPr>
          <w:rFonts w:ascii="Calibri" w:eastAsia="Calibri" w:hAnsi="Calibri" w:cs="Calibri"/>
          <w:b/>
          <w:bCs/>
          <w:color w:val="000000"/>
          <w:sz w:val="20"/>
          <w:szCs w:val="20"/>
        </w:rPr>
        <w:t>Board Chair / Chair, Risk Committee</w:t>
      </w:r>
    </w:p>
    <w:p w14:paraId="2A235CC6" w14:textId="77777777" w:rsidR="0018469C" w:rsidRDefault="00000000">
      <w:pPr>
        <w:spacing w:before="60" w:after="120" w:line="360" w:lineRule="auto"/>
      </w:pPr>
      <w:r>
        <w:rPr>
          <w:rFonts w:ascii="Calibri" w:eastAsia="Calibri" w:hAnsi="Calibri" w:cs="Calibri"/>
          <w:color w:val="555555"/>
          <w:sz w:val="18"/>
          <w:szCs w:val="18"/>
        </w:rPr>
        <w:t>On Behalf of the Board of Directors / Risk Committee</w:t>
      </w:r>
    </w:p>
    <w:p w14:paraId="29AADF6A" w14:textId="77777777" w:rsidR="0018469C" w:rsidRDefault="0018469C">
      <w:pPr>
        <w:pBdr>
          <w:bottom w:val="single" w:sz="6" w:space="0" w:color="000000"/>
        </w:pBdr>
        <w:spacing w:before="240" w:after="240"/>
      </w:pPr>
    </w:p>
    <w:p w14:paraId="1B49A3ED" w14:textId="77777777" w:rsidR="0018469C" w:rsidRDefault="00000000">
      <w:pPr>
        <w:spacing w:before="60" w:after="120" w:line="360" w:lineRule="auto"/>
      </w:pPr>
      <w:r>
        <w:rPr>
          <w:rFonts w:ascii="Calibri" w:eastAsia="Calibri" w:hAnsi="Calibri" w:cs="Calibri"/>
          <w:color w:val="555555"/>
          <w:sz w:val="18"/>
          <w:szCs w:val="18"/>
        </w:rPr>
        <w:t>Date</w:t>
      </w:r>
    </w:p>
    <w:p w14:paraId="73227A56" w14:textId="77777777" w:rsidR="0018469C" w:rsidRDefault="0018469C">
      <w:pPr>
        <w:pBdr>
          <w:bottom w:val="single" w:sz="6" w:space="0" w:color="000000"/>
        </w:pBdr>
        <w:spacing w:before="240" w:after="240"/>
      </w:pPr>
    </w:p>
    <w:p w14:paraId="0CBC1AC6" w14:textId="77777777" w:rsidR="0018469C" w:rsidRDefault="00000000">
      <w:pPr>
        <w:spacing w:before="60" w:after="120" w:line="360" w:lineRule="auto"/>
      </w:pPr>
      <w:r>
        <w:rPr>
          <w:rFonts w:ascii="Calibri" w:eastAsia="Calibri" w:hAnsi="Calibri" w:cs="Calibri"/>
          <w:b/>
          <w:bCs/>
          <w:color w:val="000000"/>
          <w:sz w:val="20"/>
          <w:szCs w:val="20"/>
        </w:rPr>
        <w:t>Chief Executive Officer</w:t>
      </w:r>
    </w:p>
    <w:p w14:paraId="275BD634" w14:textId="77777777" w:rsidR="0018469C" w:rsidRDefault="00000000">
      <w:pPr>
        <w:spacing w:before="60" w:after="120" w:line="360" w:lineRule="auto"/>
      </w:pPr>
      <w:r>
        <w:rPr>
          <w:rFonts w:ascii="Calibri" w:eastAsia="Calibri" w:hAnsi="Calibri" w:cs="Calibri"/>
          <w:color w:val="555555"/>
          <w:sz w:val="18"/>
          <w:szCs w:val="18"/>
        </w:rPr>
        <w:t>Executive Acknowledgment</w:t>
      </w:r>
    </w:p>
    <w:p w14:paraId="09354C2E" w14:textId="77777777" w:rsidR="0018469C" w:rsidRDefault="0018469C">
      <w:pPr>
        <w:pBdr>
          <w:bottom w:val="single" w:sz="6" w:space="0" w:color="000000"/>
        </w:pBdr>
        <w:spacing w:before="240" w:after="240"/>
      </w:pPr>
    </w:p>
    <w:p w14:paraId="5CB83888" w14:textId="77777777" w:rsidR="0018469C" w:rsidRDefault="00000000">
      <w:pPr>
        <w:spacing w:before="60" w:after="120" w:line="360" w:lineRule="auto"/>
      </w:pPr>
      <w:r>
        <w:rPr>
          <w:rFonts w:ascii="Calibri" w:eastAsia="Calibri" w:hAnsi="Calibri" w:cs="Calibri"/>
          <w:color w:val="555555"/>
          <w:sz w:val="18"/>
          <w:szCs w:val="18"/>
        </w:rPr>
        <w:t>Date</w:t>
      </w:r>
    </w:p>
    <w:p w14:paraId="225D9F9C" w14:textId="77777777" w:rsidR="0018469C" w:rsidRDefault="00000000">
      <w:pPr>
        <w:spacing w:before="640" w:after="120" w:line="360" w:lineRule="auto"/>
        <w:jc w:val="center"/>
        <w:rPr>
          <w:rFonts w:ascii="Calibri" w:eastAsia="Calibri" w:hAnsi="Calibri" w:cs="Calibri"/>
          <w:color w:val="666666"/>
          <w:sz w:val="16"/>
          <w:szCs w:val="16"/>
        </w:rPr>
      </w:pPr>
      <w:r>
        <w:rPr>
          <w:rFonts w:ascii="Calibri" w:eastAsia="Calibri" w:hAnsi="Calibri" w:cs="Calibri"/>
          <w:color w:val="666666"/>
          <w:sz w:val="16"/>
          <w:szCs w:val="16"/>
        </w:rPr>
        <w:t xml:space="preserve">Know Your Customer (KYC) Policy  |  Policy No. [BANK]-KYC-001  |  Version 1.0  |  Effective August 4, </w:t>
      </w:r>
      <w:proofErr w:type="gramStart"/>
      <w:r>
        <w:rPr>
          <w:rFonts w:ascii="Calibri" w:eastAsia="Calibri" w:hAnsi="Calibri" w:cs="Calibri"/>
          <w:color w:val="666666"/>
          <w:sz w:val="16"/>
          <w:szCs w:val="16"/>
        </w:rPr>
        <w:t>2026</w:t>
      </w:r>
      <w:proofErr w:type="gramEnd"/>
      <w:r>
        <w:rPr>
          <w:rFonts w:ascii="Calibri" w:eastAsia="Calibri" w:hAnsi="Calibri" w:cs="Calibri"/>
          <w:color w:val="666666"/>
          <w:sz w:val="16"/>
          <w:szCs w:val="16"/>
        </w:rPr>
        <w:t xml:space="preserve">  |  Classification: Internal – Restricted</w:t>
      </w:r>
      <w:r>
        <w:rPr>
          <w:rFonts w:ascii="Calibri" w:eastAsia="Calibri" w:hAnsi="Calibri" w:cs="Calibri"/>
          <w:color w:val="666666"/>
          <w:sz w:val="16"/>
          <w:szCs w:val="16"/>
        </w:rPr>
        <w:br/>
        <w:t xml:space="preserve"> This document is the property of [BANK NAME]. Unauthorized distribution is strictly prohibited. © 2026 [BANK NAME]. All rights reserved.</w:t>
      </w:r>
    </w:p>
    <w:p w14:paraId="778740D8" w14:textId="36774138" w:rsidR="00A9425E" w:rsidRDefault="00A9425E">
      <w:pPr>
        <w:spacing w:before="640" w:after="120" w:line="360" w:lineRule="auto"/>
        <w:contextualSpacing/>
        <w:jc w:val="center"/>
      </w:pPr>
      <w:r>
        <w:rPr>
          <w:rFonts w:ascii="Calibri" w:eastAsia="Calibri" w:hAnsi="Calibri" w:cs="Calibri"/>
          <w:color w:val="666666"/>
          <w:sz w:val="16"/>
          <w:szCs w:val="16"/>
        </w:rPr>
        <w:t xml:space="preserve">KSG </w:t>
      </w:r>
      <w:proofErr w:type="spellStart"/>
      <w:r>
        <w:rPr>
          <w:rFonts w:ascii="Calibri" w:eastAsia="Calibri" w:hAnsi="Calibri" w:cs="Calibri"/>
          <w:color w:val="666666"/>
          <w:sz w:val="16"/>
          <w:szCs w:val="16"/>
        </w:rPr>
        <w:t>Consulng</w:t>
      </w:r>
      <w:proofErr w:type="spellEnd"/>
      <w:r>
        <w:rPr>
          <w:rFonts w:ascii="Calibri" w:eastAsia="Calibri" w:hAnsi="Calibri" w:cs="Calibri"/>
          <w:color w:val="666666"/>
          <w:sz w:val="16"/>
          <w:szCs w:val="16"/>
        </w:rPr>
        <w:t xml:space="preserve"> LLC.</w:t>
      </w:r>
    </w:p>
    <w:sectPr w:rsidR="00A9425E">
      <w:pgSz w:w="12240" w:h="15840"/>
      <w:pgMar w:top="1080" w:right="1440" w:bottom="108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EA5496"/>
    <w:multiLevelType w:val="hybridMultilevel"/>
    <w:tmpl w:val="90C8C8CE"/>
    <w:lvl w:ilvl="0" w:tplc="19C88068">
      <w:start w:val="1"/>
      <w:numFmt w:val="decimal"/>
      <w:lvlText w:val="%1."/>
      <w:lvlJc w:val="left"/>
      <w:pPr>
        <w:ind w:left="720" w:hanging="360"/>
      </w:pPr>
    </w:lvl>
    <w:lvl w:ilvl="1" w:tplc="B6E87C64">
      <w:numFmt w:val="decimal"/>
      <w:lvlText w:val=""/>
      <w:lvlJc w:val="left"/>
    </w:lvl>
    <w:lvl w:ilvl="2" w:tplc="6ACA4270">
      <w:numFmt w:val="decimal"/>
      <w:lvlText w:val=""/>
      <w:lvlJc w:val="left"/>
    </w:lvl>
    <w:lvl w:ilvl="3" w:tplc="578E3342">
      <w:numFmt w:val="decimal"/>
      <w:lvlText w:val=""/>
      <w:lvlJc w:val="left"/>
    </w:lvl>
    <w:lvl w:ilvl="4" w:tplc="DFBE1928">
      <w:numFmt w:val="decimal"/>
      <w:lvlText w:val=""/>
      <w:lvlJc w:val="left"/>
    </w:lvl>
    <w:lvl w:ilvl="5" w:tplc="93665B56">
      <w:numFmt w:val="decimal"/>
      <w:lvlText w:val=""/>
      <w:lvlJc w:val="left"/>
    </w:lvl>
    <w:lvl w:ilvl="6" w:tplc="589A6474">
      <w:numFmt w:val="decimal"/>
      <w:lvlText w:val=""/>
      <w:lvlJc w:val="left"/>
    </w:lvl>
    <w:lvl w:ilvl="7" w:tplc="1B7CA504">
      <w:numFmt w:val="decimal"/>
      <w:lvlText w:val=""/>
      <w:lvlJc w:val="left"/>
    </w:lvl>
    <w:lvl w:ilvl="8" w:tplc="2258CDC2">
      <w:numFmt w:val="decimal"/>
      <w:lvlText w:val=""/>
      <w:lvlJc w:val="left"/>
    </w:lvl>
  </w:abstractNum>
  <w:abstractNum w:abstractNumId="1" w15:restartNumberingAfterBreak="0">
    <w:nsid w:val="6CF26075"/>
    <w:multiLevelType w:val="hybridMultilevel"/>
    <w:tmpl w:val="7E6A2770"/>
    <w:lvl w:ilvl="0" w:tplc="4DA66BAE">
      <w:start w:val="1"/>
      <w:numFmt w:val="bullet"/>
      <w:lvlText w:val="●"/>
      <w:lvlJc w:val="left"/>
      <w:pPr>
        <w:ind w:left="720" w:hanging="360"/>
      </w:pPr>
    </w:lvl>
    <w:lvl w:ilvl="1" w:tplc="4C42FED6">
      <w:start w:val="1"/>
      <w:numFmt w:val="bullet"/>
      <w:lvlText w:val="○"/>
      <w:lvlJc w:val="left"/>
      <w:pPr>
        <w:ind w:left="1440" w:hanging="360"/>
      </w:pPr>
    </w:lvl>
    <w:lvl w:ilvl="2" w:tplc="0E16A442">
      <w:start w:val="1"/>
      <w:numFmt w:val="bullet"/>
      <w:lvlText w:val="■"/>
      <w:lvlJc w:val="left"/>
      <w:pPr>
        <w:ind w:left="2160" w:hanging="360"/>
      </w:pPr>
    </w:lvl>
    <w:lvl w:ilvl="3" w:tplc="F14EBE4A">
      <w:start w:val="1"/>
      <w:numFmt w:val="bullet"/>
      <w:lvlText w:val="●"/>
      <w:lvlJc w:val="left"/>
      <w:pPr>
        <w:ind w:left="2880" w:hanging="360"/>
      </w:pPr>
    </w:lvl>
    <w:lvl w:ilvl="4" w:tplc="CED2D62E">
      <w:start w:val="1"/>
      <w:numFmt w:val="bullet"/>
      <w:lvlText w:val="○"/>
      <w:lvlJc w:val="left"/>
      <w:pPr>
        <w:ind w:left="3600" w:hanging="360"/>
      </w:pPr>
    </w:lvl>
    <w:lvl w:ilvl="5" w:tplc="4D82DD8C">
      <w:start w:val="1"/>
      <w:numFmt w:val="bullet"/>
      <w:lvlText w:val="■"/>
      <w:lvlJc w:val="left"/>
      <w:pPr>
        <w:ind w:left="4320" w:hanging="360"/>
      </w:pPr>
    </w:lvl>
    <w:lvl w:ilvl="6" w:tplc="EE7A4A12">
      <w:start w:val="1"/>
      <w:numFmt w:val="bullet"/>
      <w:lvlText w:val="●"/>
      <w:lvlJc w:val="left"/>
      <w:pPr>
        <w:ind w:left="5040" w:hanging="360"/>
      </w:pPr>
    </w:lvl>
    <w:lvl w:ilvl="7" w:tplc="F622FCDA">
      <w:start w:val="1"/>
      <w:numFmt w:val="bullet"/>
      <w:lvlText w:val="●"/>
      <w:lvlJc w:val="left"/>
      <w:pPr>
        <w:ind w:left="5760" w:hanging="360"/>
      </w:pPr>
    </w:lvl>
    <w:lvl w:ilvl="8" w:tplc="C8748AA6">
      <w:start w:val="1"/>
      <w:numFmt w:val="bullet"/>
      <w:lvlText w:val="●"/>
      <w:lvlJc w:val="left"/>
      <w:pPr>
        <w:ind w:left="6480" w:hanging="360"/>
      </w:pPr>
    </w:lvl>
  </w:abstractNum>
  <w:num w:numId="1" w16cid:durableId="476266110">
    <w:abstractNumId w:val="1"/>
    <w:lvlOverride w:ilvl="0">
      <w:startOverride w:val="1"/>
    </w:lvlOverride>
  </w:num>
  <w:num w:numId="2" w16cid:durableId="112165560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69C"/>
    <w:rsid w:val="0018469C"/>
    <w:rsid w:val="00424F0F"/>
    <w:rsid w:val="0098670A"/>
    <w:rsid w:val="00A9425E"/>
    <w:rsid w:val="00D90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086DC3"/>
  <w15:docId w15:val="{BA4850D0-C01C-4A76-83E4-912A7A9C9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48"/>
      <w:szCs w:val="48"/>
    </w:rPr>
  </w:style>
  <w:style w:type="paragraph" w:styleId="Heading2">
    <w:name w:val="heading 2"/>
    <w:uiPriority w:val="9"/>
    <w:unhideWhenUsed/>
    <w:qFormat/>
    <w:pPr>
      <w:outlineLvl w:val="1"/>
    </w:pPr>
    <w:rPr>
      <w:b/>
      <w:bCs/>
      <w:color w:val="000000"/>
      <w:sz w:val="36"/>
      <w:szCs w:val="36"/>
    </w:rPr>
  </w:style>
  <w:style w:type="paragraph" w:styleId="Heading3">
    <w:name w:val="heading 3"/>
    <w:uiPriority w:val="9"/>
    <w:unhideWhenUsed/>
    <w:qFormat/>
    <w:pPr>
      <w:outlineLvl w:val="2"/>
    </w:pPr>
    <w:rPr>
      <w:b/>
      <w:bCs/>
      <w:color w:val="000000"/>
      <w:sz w:val="30"/>
      <w:szCs w:val="30"/>
    </w:rPr>
  </w:style>
  <w:style w:type="paragraph" w:styleId="Heading4">
    <w:name w:val="heading 4"/>
    <w:uiPriority w:val="9"/>
    <w:semiHidden/>
    <w:unhideWhenUsed/>
    <w:qFormat/>
    <w:pPr>
      <w:outlineLvl w:val="3"/>
    </w:pPr>
    <w:rPr>
      <w:b/>
      <w:bCs/>
      <w:color w:val="000000"/>
      <w:sz w:val="26"/>
      <w:szCs w:val="26"/>
    </w:rPr>
  </w:style>
  <w:style w:type="paragraph" w:styleId="Heading5">
    <w:name w:val="heading 5"/>
    <w:uiPriority w:val="9"/>
    <w:semiHidden/>
    <w:unhideWhenUsed/>
    <w:qFormat/>
    <w:pPr>
      <w:outlineLvl w:val="4"/>
    </w:pPr>
    <w:rPr>
      <w:b/>
      <w:bCs/>
      <w:color w:val="000000"/>
    </w:rPr>
  </w:style>
  <w:style w:type="paragraph" w:styleId="Heading6">
    <w:name w:val="heading 6"/>
    <w:uiPriority w:val="9"/>
    <w:semiHidden/>
    <w:unhideWhenUsed/>
    <w:qFormat/>
    <w:pPr>
      <w:outlineLvl w:val="5"/>
    </w:pPr>
    <w:rPr>
      <w:b/>
      <w:bCs/>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7900</Words>
  <Characters>45036</Characters>
  <Application>Microsoft Office Word</Application>
  <DocSecurity>0</DocSecurity>
  <Lines>375</Lines>
  <Paragraphs>105</Paragraphs>
  <ScaleCrop>false</ScaleCrop>
  <Company/>
  <LinksUpToDate>false</LinksUpToDate>
  <CharactersWithSpaces>52831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5VqKww6aBckKDwFU2aQEf</dc:title>
  <dc:creator>Un-named</dc:creator>
  <dc:description>Generated document</dc:description>
  <cp:lastModifiedBy>Jeffrey Korte</cp:lastModifiedBy>
  <cp:revision>2</cp:revision>
  <dcterms:created xsi:type="dcterms:W3CDTF">2026-08-05T18:18:00Z</dcterms:created>
  <dcterms:modified xsi:type="dcterms:W3CDTF">2026-08-05T18:18:00Z</dcterms:modified>
</cp:coreProperties>
</file>