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Arial" w:hAnsi="Calibri" w:cs="Calibri"/>
          <w:color w:val="auto"/>
          <w:sz w:val="22"/>
          <w:szCs w:val="22"/>
        </w:rPr>
        <w:id w:val="1896539271"/>
        <w:docPartObj>
          <w:docPartGallery w:val="Table of Contents"/>
          <w:docPartUnique/>
        </w:docPartObj>
      </w:sdtPr>
      <w:sdtEndPr>
        <w:rPr>
          <w:rFonts w:ascii="Arial" w:hAnsi="Arial" w:cs="Arial"/>
          <w:b/>
          <w:bCs/>
          <w:noProof/>
        </w:rPr>
      </w:sdtEndPr>
      <w:sdtContent>
        <w:p w14:paraId="7075D630" w14:textId="48A99B21" w:rsidR="00650B4C" w:rsidRPr="00650B4C" w:rsidRDefault="00650B4C" w:rsidP="009913EF">
          <w:pPr>
            <w:pStyle w:val="TOCHeading"/>
            <w:rPr>
              <w:rFonts w:ascii="Calibri" w:hAnsi="Calibri" w:cs="Calibri"/>
              <w:sz w:val="22"/>
              <w:szCs w:val="22"/>
            </w:rPr>
          </w:pPr>
          <w:r w:rsidRPr="00650B4C">
            <w:rPr>
              <w:rFonts w:ascii="Calibri" w:hAnsi="Calibri" w:cs="Calibri"/>
              <w:sz w:val="22"/>
              <w:szCs w:val="22"/>
            </w:rPr>
            <w:t>Table of Contents</w:t>
          </w:r>
        </w:p>
        <w:p w14:paraId="511BA756" w14:textId="5E95E886" w:rsidR="00650B4C" w:rsidRPr="00650B4C" w:rsidRDefault="00650B4C" w:rsidP="009913EF">
          <w:pPr>
            <w:pStyle w:val="TOC1"/>
            <w:tabs>
              <w:tab w:val="right" w:leader="dot" w:pos="9350"/>
            </w:tabs>
            <w:rPr>
              <w:rFonts w:ascii="Calibri" w:hAnsi="Calibri" w:cs="Calibri"/>
              <w:noProof/>
            </w:rPr>
          </w:pPr>
          <w:r w:rsidRPr="00650B4C">
            <w:rPr>
              <w:rFonts w:ascii="Calibri" w:hAnsi="Calibri" w:cs="Calibri"/>
            </w:rPr>
            <w:fldChar w:fldCharType="begin"/>
          </w:r>
          <w:r w:rsidRPr="00650B4C">
            <w:rPr>
              <w:rFonts w:ascii="Calibri" w:hAnsi="Calibri" w:cs="Calibri"/>
            </w:rPr>
            <w:instrText xml:space="preserve"> TOC \o "1-3" \h \z \u </w:instrText>
          </w:r>
          <w:r w:rsidRPr="00650B4C">
            <w:rPr>
              <w:rFonts w:ascii="Calibri" w:hAnsi="Calibri" w:cs="Calibri"/>
            </w:rPr>
            <w:fldChar w:fldCharType="separate"/>
          </w:r>
          <w:hyperlink w:anchor="_Toc222209508" w:history="1">
            <w:r w:rsidRPr="00650B4C">
              <w:rPr>
                <w:rStyle w:val="Hyperlink"/>
                <w:rFonts w:ascii="Calibri" w:hAnsi="Calibri" w:cs="Calibri"/>
                <w:noProof/>
              </w:rPr>
              <w:t>How to use this guide</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_Toc222209508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w:t>
            </w:r>
            <w:r w:rsidRPr="00650B4C">
              <w:rPr>
                <w:rFonts w:ascii="Calibri" w:hAnsi="Calibri" w:cs="Calibri"/>
                <w:noProof/>
                <w:webHidden/>
              </w:rPr>
              <w:fldChar w:fldCharType="end"/>
            </w:r>
          </w:hyperlink>
        </w:p>
        <w:p w14:paraId="2CEF6456" w14:textId="637FE5CD" w:rsidR="00650B4C" w:rsidRPr="00650B4C" w:rsidRDefault="00650B4C" w:rsidP="009913EF">
          <w:pPr>
            <w:pStyle w:val="TOC1"/>
            <w:tabs>
              <w:tab w:val="right" w:leader="dot" w:pos="9350"/>
            </w:tabs>
            <w:rPr>
              <w:rFonts w:ascii="Calibri" w:hAnsi="Calibri" w:cs="Calibri"/>
              <w:noProof/>
            </w:rPr>
          </w:pPr>
          <w:hyperlink w:anchor="_Toc222209509" w:history="1">
            <w:r w:rsidRPr="00650B4C">
              <w:rPr>
                <w:rStyle w:val="Hyperlink"/>
                <w:rFonts w:ascii="Calibri" w:hAnsi="Calibri" w:cs="Calibri"/>
                <w:noProof/>
              </w:rPr>
              <w:t>Customer Welcome &amp; Account Opening Letters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_Toc222209509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3</w:t>
            </w:r>
            <w:r w:rsidRPr="00650B4C">
              <w:rPr>
                <w:rFonts w:ascii="Calibri" w:hAnsi="Calibri" w:cs="Calibri"/>
                <w:noProof/>
                <w:webHidden/>
              </w:rPr>
              <w:fldChar w:fldCharType="end"/>
            </w:r>
          </w:hyperlink>
        </w:p>
        <w:p w14:paraId="76E905C4" w14:textId="5D41CA1D" w:rsidR="00650B4C" w:rsidRPr="00650B4C" w:rsidRDefault="00650B4C" w:rsidP="009913EF">
          <w:pPr>
            <w:pStyle w:val="TOC1"/>
            <w:tabs>
              <w:tab w:val="right" w:leader="dot" w:pos="9350"/>
            </w:tabs>
            <w:rPr>
              <w:rFonts w:ascii="Calibri" w:hAnsi="Calibri" w:cs="Calibri"/>
              <w:noProof/>
            </w:rPr>
          </w:pPr>
          <w:hyperlink w:anchor="_Toc222209510" w:history="1">
            <w:r w:rsidRPr="00650B4C">
              <w:rPr>
                <w:rStyle w:val="Hyperlink"/>
                <w:rFonts w:ascii="Calibri" w:hAnsi="Calibri" w:cs="Calibri"/>
                <w:noProof/>
              </w:rPr>
              <w:t>Loan Approval Notifications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_Toc222209510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4</w:t>
            </w:r>
            <w:r w:rsidRPr="00650B4C">
              <w:rPr>
                <w:rFonts w:ascii="Calibri" w:hAnsi="Calibri" w:cs="Calibri"/>
                <w:noProof/>
                <w:webHidden/>
              </w:rPr>
              <w:fldChar w:fldCharType="end"/>
            </w:r>
          </w:hyperlink>
        </w:p>
        <w:p w14:paraId="648F17D4" w14:textId="013EF9A4" w:rsidR="00650B4C" w:rsidRPr="00650B4C" w:rsidRDefault="00650B4C" w:rsidP="009913EF">
          <w:pPr>
            <w:pStyle w:val="TOC1"/>
            <w:tabs>
              <w:tab w:val="right" w:leader="dot" w:pos="9350"/>
            </w:tabs>
            <w:rPr>
              <w:rFonts w:ascii="Calibri" w:hAnsi="Calibri" w:cs="Calibri"/>
              <w:noProof/>
            </w:rPr>
          </w:pPr>
          <w:hyperlink w:anchor="_Toc222209511" w:history="1">
            <w:r w:rsidRPr="00650B4C">
              <w:rPr>
                <w:rStyle w:val="Hyperlink"/>
                <w:rFonts w:ascii="Calibri" w:hAnsi="Calibri" w:cs="Calibri"/>
                <w:noProof/>
              </w:rPr>
              <w:t>Loan Denial / Adverse Action Notices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_Toc222209511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5</w:t>
            </w:r>
            <w:r w:rsidRPr="00650B4C">
              <w:rPr>
                <w:rFonts w:ascii="Calibri" w:hAnsi="Calibri" w:cs="Calibri"/>
                <w:noProof/>
                <w:webHidden/>
              </w:rPr>
              <w:fldChar w:fldCharType="end"/>
            </w:r>
          </w:hyperlink>
        </w:p>
        <w:p w14:paraId="609201F2" w14:textId="413901F0" w:rsidR="00650B4C" w:rsidRPr="00650B4C" w:rsidRDefault="00650B4C" w:rsidP="009913EF">
          <w:pPr>
            <w:pStyle w:val="TOC1"/>
            <w:tabs>
              <w:tab w:val="right" w:leader="dot" w:pos="9350"/>
            </w:tabs>
            <w:rPr>
              <w:rFonts w:ascii="Calibri" w:hAnsi="Calibri" w:cs="Calibri"/>
              <w:noProof/>
            </w:rPr>
          </w:pPr>
          <w:hyperlink w:anchor="_Toc222209512" w:history="1">
            <w:r w:rsidRPr="00650B4C">
              <w:rPr>
                <w:rStyle w:val="Hyperlink"/>
                <w:rFonts w:ascii="Calibri" w:hAnsi="Calibri" w:cs="Calibri"/>
                <w:noProof/>
              </w:rPr>
              <w:t>Past Due &amp; Collections Correspondence</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_Toc222209512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6</w:t>
            </w:r>
            <w:r w:rsidRPr="00650B4C">
              <w:rPr>
                <w:rFonts w:ascii="Calibri" w:hAnsi="Calibri" w:cs="Calibri"/>
                <w:noProof/>
                <w:webHidden/>
              </w:rPr>
              <w:fldChar w:fldCharType="end"/>
            </w:r>
          </w:hyperlink>
        </w:p>
        <w:p w14:paraId="5C618A43" w14:textId="454314BB" w:rsidR="00650B4C" w:rsidRPr="00650B4C" w:rsidRDefault="00650B4C" w:rsidP="009913EF">
          <w:pPr>
            <w:pStyle w:val="TOC1"/>
            <w:tabs>
              <w:tab w:val="right" w:leader="dot" w:pos="9350"/>
            </w:tabs>
            <w:rPr>
              <w:rFonts w:ascii="Calibri" w:hAnsi="Calibri" w:cs="Calibri"/>
              <w:noProof/>
            </w:rPr>
          </w:pPr>
          <w:hyperlink w:anchor="_Toc222209513" w:history="1">
            <w:r w:rsidRPr="00650B4C">
              <w:rPr>
                <w:rStyle w:val="Hyperlink"/>
                <w:rFonts w:ascii="Calibri" w:hAnsi="Calibri" w:cs="Calibri"/>
                <w:noProof/>
              </w:rPr>
              <w:t>Rate Change &amp; Account Notifications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_Toc222209513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7</w:t>
            </w:r>
            <w:r w:rsidRPr="00650B4C">
              <w:rPr>
                <w:rFonts w:ascii="Calibri" w:hAnsi="Calibri" w:cs="Calibri"/>
                <w:noProof/>
                <w:webHidden/>
              </w:rPr>
              <w:fldChar w:fldCharType="end"/>
            </w:r>
          </w:hyperlink>
        </w:p>
        <w:p w14:paraId="25021504" w14:textId="5FF358ED" w:rsidR="00650B4C" w:rsidRPr="00650B4C" w:rsidRDefault="00650B4C" w:rsidP="009913EF">
          <w:pPr>
            <w:pStyle w:val="TOC1"/>
            <w:tabs>
              <w:tab w:val="right" w:leader="dot" w:pos="9350"/>
            </w:tabs>
            <w:rPr>
              <w:rFonts w:ascii="Calibri" w:hAnsi="Calibri" w:cs="Calibri"/>
              <w:noProof/>
            </w:rPr>
          </w:pPr>
          <w:hyperlink w:anchor="_Toc222209514" w:history="1">
            <w:r w:rsidRPr="00650B4C">
              <w:rPr>
                <w:rStyle w:val="Hyperlink"/>
                <w:rFonts w:ascii="Calibri" w:hAnsi="Calibri" w:cs="Calibri"/>
                <w:noProof/>
              </w:rPr>
              <w:t>Product &amp; Service Cross-Sell Emails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_Toc222209514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8</w:t>
            </w:r>
            <w:r w:rsidRPr="00650B4C">
              <w:rPr>
                <w:rFonts w:ascii="Calibri" w:hAnsi="Calibri" w:cs="Calibri"/>
                <w:noProof/>
                <w:webHidden/>
              </w:rPr>
              <w:fldChar w:fldCharType="end"/>
            </w:r>
          </w:hyperlink>
        </w:p>
        <w:p w14:paraId="5BED0AC6" w14:textId="4F98A9DC" w:rsidR="00650B4C" w:rsidRPr="00650B4C" w:rsidRDefault="00650B4C" w:rsidP="009913EF">
          <w:pPr>
            <w:pStyle w:val="TOC1"/>
            <w:tabs>
              <w:tab w:val="right" w:leader="dot" w:pos="9350"/>
            </w:tabs>
            <w:rPr>
              <w:rFonts w:ascii="Calibri" w:hAnsi="Calibri" w:cs="Calibri"/>
              <w:noProof/>
            </w:rPr>
          </w:pPr>
          <w:hyperlink w:anchor="_Toc222209515" w:history="1">
            <w:r w:rsidRPr="00650B4C">
              <w:rPr>
                <w:rStyle w:val="Hyperlink"/>
                <w:rFonts w:ascii="Calibri" w:hAnsi="Calibri" w:cs="Calibri"/>
                <w:noProof/>
              </w:rPr>
              <w:t>Customer Complaint Resolution Letters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_Toc222209515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9</w:t>
            </w:r>
            <w:r w:rsidRPr="00650B4C">
              <w:rPr>
                <w:rFonts w:ascii="Calibri" w:hAnsi="Calibri" w:cs="Calibri"/>
                <w:noProof/>
                <w:webHidden/>
              </w:rPr>
              <w:fldChar w:fldCharType="end"/>
            </w:r>
          </w:hyperlink>
        </w:p>
        <w:p w14:paraId="2FC34358" w14:textId="1265694A" w:rsidR="00650B4C" w:rsidRPr="00650B4C" w:rsidRDefault="00650B4C" w:rsidP="009913EF">
          <w:pPr>
            <w:pStyle w:val="TOC1"/>
            <w:tabs>
              <w:tab w:val="right" w:leader="dot" w:pos="9350"/>
            </w:tabs>
            <w:rPr>
              <w:rFonts w:ascii="Calibri" w:hAnsi="Calibri" w:cs="Calibri"/>
              <w:noProof/>
            </w:rPr>
          </w:pPr>
          <w:hyperlink w:anchor="_Toc222209516" w:history="1">
            <w:r w:rsidRPr="00650B4C">
              <w:rPr>
                <w:rStyle w:val="Hyperlink"/>
                <w:rFonts w:ascii="Calibri" w:hAnsi="Calibri" w:cs="Calibri"/>
                <w:noProof/>
              </w:rPr>
              <w:t>Wire/ACH Fraud Alert Communications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_Toc222209516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10</w:t>
            </w:r>
            <w:r w:rsidRPr="00650B4C">
              <w:rPr>
                <w:rFonts w:ascii="Calibri" w:hAnsi="Calibri" w:cs="Calibri"/>
                <w:noProof/>
                <w:webHidden/>
              </w:rPr>
              <w:fldChar w:fldCharType="end"/>
            </w:r>
          </w:hyperlink>
        </w:p>
        <w:p w14:paraId="70FB52A5" w14:textId="2582C432" w:rsidR="00650B4C" w:rsidRPr="00650B4C" w:rsidRDefault="00650B4C" w:rsidP="009913EF">
          <w:pPr>
            <w:pStyle w:val="TOC1"/>
            <w:tabs>
              <w:tab w:val="right" w:leader="dot" w:pos="9350"/>
            </w:tabs>
            <w:rPr>
              <w:rFonts w:ascii="Calibri" w:hAnsi="Calibri" w:cs="Calibri"/>
              <w:noProof/>
            </w:rPr>
          </w:pPr>
          <w:hyperlink w:anchor="_Toc222209517" w:history="1">
            <w:r w:rsidRPr="00650B4C">
              <w:rPr>
                <w:rStyle w:val="Hyperlink"/>
                <w:rFonts w:ascii="Calibri" w:hAnsi="Calibri" w:cs="Calibri"/>
                <w:noProof/>
              </w:rPr>
              <w:t>BSA/AML Suspicious Activity Report Narratives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_Toc222209517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11</w:t>
            </w:r>
            <w:r w:rsidRPr="00650B4C">
              <w:rPr>
                <w:rFonts w:ascii="Calibri" w:hAnsi="Calibri" w:cs="Calibri"/>
                <w:noProof/>
                <w:webHidden/>
              </w:rPr>
              <w:fldChar w:fldCharType="end"/>
            </w:r>
          </w:hyperlink>
        </w:p>
        <w:p w14:paraId="749E6F50" w14:textId="2C2F4A18" w:rsidR="00650B4C" w:rsidRPr="00650B4C" w:rsidRDefault="00650B4C" w:rsidP="009913EF">
          <w:pPr>
            <w:pStyle w:val="TOC1"/>
            <w:tabs>
              <w:tab w:val="right" w:leader="dot" w:pos="9350"/>
            </w:tabs>
            <w:rPr>
              <w:rFonts w:ascii="Calibri" w:hAnsi="Calibri" w:cs="Calibri"/>
              <w:noProof/>
            </w:rPr>
          </w:pPr>
          <w:hyperlink w:anchor="_Toc222209518" w:history="1">
            <w:r w:rsidRPr="00650B4C">
              <w:rPr>
                <w:rStyle w:val="Hyperlink"/>
                <w:rFonts w:ascii="Calibri" w:hAnsi="Calibri" w:cs="Calibri"/>
                <w:noProof/>
              </w:rPr>
              <w:t>Board Meeting Summaries &amp; Reports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_Toc222209518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12</w:t>
            </w:r>
            <w:r w:rsidRPr="00650B4C">
              <w:rPr>
                <w:rFonts w:ascii="Calibri" w:hAnsi="Calibri" w:cs="Calibri"/>
                <w:noProof/>
                <w:webHidden/>
              </w:rPr>
              <w:fldChar w:fldCharType="end"/>
            </w:r>
          </w:hyperlink>
        </w:p>
        <w:p w14:paraId="7D213523" w14:textId="3129CADD" w:rsidR="00650B4C" w:rsidRPr="00650B4C" w:rsidRDefault="00650B4C" w:rsidP="009913EF">
          <w:pPr>
            <w:pStyle w:val="TOC1"/>
            <w:tabs>
              <w:tab w:val="right" w:leader="dot" w:pos="9350"/>
            </w:tabs>
            <w:rPr>
              <w:rFonts w:ascii="Calibri" w:hAnsi="Calibri" w:cs="Calibri"/>
              <w:noProof/>
            </w:rPr>
          </w:pPr>
          <w:hyperlink w:anchor="_Toc222209519" w:history="1">
            <w:r w:rsidRPr="00650B4C">
              <w:rPr>
                <w:rStyle w:val="Hyperlink"/>
                <w:rFonts w:ascii="Calibri" w:hAnsi="Calibri" w:cs="Calibri"/>
                <w:noProof/>
              </w:rPr>
              <w:t>Regulatory Exam Preparation Documents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_Toc222209519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13</w:t>
            </w:r>
            <w:r w:rsidRPr="00650B4C">
              <w:rPr>
                <w:rFonts w:ascii="Calibri" w:hAnsi="Calibri" w:cs="Calibri"/>
                <w:noProof/>
                <w:webHidden/>
              </w:rPr>
              <w:fldChar w:fldCharType="end"/>
            </w:r>
          </w:hyperlink>
        </w:p>
        <w:p w14:paraId="7E008143" w14:textId="778C0F09" w:rsidR="00650B4C" w:rsidRPr="00650B4C" w:rsidRDefault="00650B4C" w:rsidP="009913EF">
          <w:pPr>
            <w:pStyle w:val="TOC1"/>
            <w:tabs>
              <w:tab w:val="right" w:leader="dot" w:pos="9350"/>
            </w:tabs>
            <w:rPr>
              <w:rFonts w:ascii="Calibri" w:hAnsi="Calibri" w:cs="Calibri"/>
              <w:noProof/>
            </w:rPr>
          </w:pPr>
          <w:hyperlink w:anchor="_Toc222209520" w:history="1">
            <w:r w:rsidRPr="00650B4C">
              <w:rPr>
                <w:rStyle w:val="Hyperlink"/>
                <w:rFonts w:ascii="Calibri" w:hAnsi="Calibri" w:cs="Calibri"/>
                <w:noProof/>
              </w:rPr>
              <w:t>Internal Policy Change Communications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_Toc222209520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14</w:t>
            </w:r>
            <w:r w:rsidRPr="00650B4C">
              <w:rPr>
                <w:rFonts w:ascii="Calibri" w:hAnsi="Calibri" w:cs="Calibri"/>
                <w:noProof/>
                <w:webHidden/>
              </w:rPr>
              <w:fldChar w:fldCharType="end"/>
            </w:r>
          </w:hyperlink>
        </w:p>
        <w:p w14:paraId="746BE9CA" w14:textId="04489EB6" w:rsidR="00650B4C" w:rsidRPr="00650B4C" w:rsidRDefault="00650B4C" w:rsidP="009913EF">
          <w:pPr>
            <w:pStyle w:val="TOC1"/>
            <w:tabs>
              <w:tab w:val="right" w:leader="dot" w:pos="9350"/>
            </w:tabs>
            <w:rPr>
              <w:rFonts w:ascii="Calibri" w:hAnsi="Calibri" w:cs="Calibri"/>
              <w:noProof/>
            </w:rPr>
          </w:pPr>
          <w:hyperlink w:anchor="_Toc222209521" w:history="1">
            <w:r w:rsidRPr="00650B4C">
              <w:rPr>
                <w:rStyle w:val="Hyperlink"/>
                <w:rFonts w:ascii="Calibri" w:hAnsi="Calibri" w:cs="Calibri"/>
                <w:noProof/>
              </w:rPr>
              <w:t>IT Incident &amp; Outage Notifications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_Toc222209521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15</w:t>
            </w:r>
            <w:r w:rsidRPr="00650B4C">
              <w:rPr>
                <w:rFonts w:ascii="Calibri" w:hAnsi="Calibri" w:cs="Calibri"/>
                <w:noProof/>
                <w:webHidden/>
              </w:rPr>
              <w:fldChar w:fldCharType="end"/>
            </w:r>
          </w:hyperlink>
        </w:p>
        <w:p w14:paraId="6AF4CD5C" w14:textId="4129D455" w:rsidR="00650B4C" w:rsidRPr="00650B4C" w:rsidRDefault="00650B4C" w:rsidP="009913EF">
          <w:pPr>
            <w:pStyle w:val="TOC1"/>
            <w:tabs>
              <w:tab w:val="right" w:leader="dot" w:pos="9350"/>
            </w:tabs>
            <w:rPr>
              <w:rFonts w:ascii="Calibri" w:hAnsi="Calibri" w:cs="Calibri"/>
              <w:noProof/>
            </w:rPr>
          </w:pPr>
          <w:hyperlink w:anchor="_Toc222209522" w:history="1">
            <w:r w:rsidRPr="00650B4C">
              <w:rPr>
                <w:rStyle w:val="Hyperlink"/>
                <w:rFonts w:ascii="Calibri" w:hAnsi="Calibri" w:cs="Calibri"/>
                <w:noProof/>
              </w:rPr>
              <w:t>Vendor Outreach &amp; RFP Correspondence</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_Toc222209522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16</w:t>
            </w:r>
            <w:r w:rsidRPr="00650B4C">
              <w:rPr>
                <w:rFonts w:ascii="Calibri" w:hAnsi="Calibri" w:cs="Calibri"/>
                <w:noProof/>
                <w:webHidden/>
              </w:rPr>
              <w:fldChar w:fldCharType="end"/>
            </w:r>
          </w:hyperlink>
        </w:p>
        <w:p w14:paraId="4C7740AD" w14:textId="78C2831D" w:rsidR="00650B4C" w:rsidRPr="00650B4C" w:rsidRDefault="00650B4C" w:rsidP="009913EF">
          <w:pPr>
            <w:pStyle w:val="TOC1"/>
            <w:tabs>
              <w:tab w:val="right" w:leader="dot" w:pos="9350"/>
            </w:tabs>
            <w:rPr>
              <w:rFonts w:ascii="Calibri" w:hAnsi="Calibri" w:cs="Calibri"/>
              <w:noProof/>
            </w:rPr>
          </w:pPr>
          <w:hyperlink w:anchor="_Toc222209523" w:history="1">
            <w:r w:rsidRPr="00650B4C">
              <w:rPr>
                <w:rStyle w:val="Hyperlink"/>
                <w:rFonts w:ascii="Calibri" w:hAnsi="Calibri" w:cs="Calibri"/>
                <w:noProof/>
              </w:rPr>
              <w:t>Social Media Posts (LinkedIn &amp; Facebook)</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_Toc222209523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17</w:t>
            </w:r>
            <w:r w:rsidRPr="00650B4C">
              <w:rPr>
                <w:rFonts w:ascii="Calibri" w:hAnsi="Calibri" w:cs="Calibri"/>
                <w:noProof/>
                <w:webHidden/>
              </w:rPr>
              <w:fldChar w:fldCharType="end"/>
            </w:r>
          </w:hyperlink>
        </w:p>
        <w:p w14:paraId="15F9093D" w14:textId="2B3DFFAF" w:rsidR="00650B4C" w:rsidRPr="00650B4C" w:rsidRDefault="00650B4C" w:rsidP="009913EF">
          <w:pPr>
            <w:pStyle w:val="TOC1"/>
            <w:tabs>
              <w:tab w:val="right" w:leader="dot" w:pos="9350"/>
            </w:tabs>
            <w:rPr>
              <w:rFonts w:ascii="Calibri" w:hAnsi="Calibri" w:cs="Calibri"/>
              <w:noProof/>
            </w:rPr>
          </w:pPr>
          <w:hyperlink w:anchor="_Toc222209524" w:history="1">
            <w:r w:rsidRPr="00650B4C">
              <w:rPr>
                <w:rStyle w:val="Hyperlink"/>
                <w:rFonts w:ascii="Calibri" w:hAnsi="Calibri" w:cs="Calibri"/>
                <w:noProof/>
              </w:rPr>
              <w:t>Community Event Announcements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_Toc222209524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18</w:t>
            </w:r>
            <w:r w:rsidRPr="00650B4C">
              <w:rPr>
                <w:rFonts w:ascii="Calibri" w:hAnsi="Calibri" w:cs="Calibri"/>
                <w:noProof/>
                <w:webHidden/>
              </w:rPr>
              <w:fldChar w:fldCharType="end"/>
            </w:r>
          </w:hyperlink>
        </w:p>
        <w:p w14:paraId="0DE41B37" w14:textId="3F52EF35" w:rsidR="00650B4C" w:rsidRPr="00650B4C" w:rsidRDefault="00650B4C" w:rsidP="009913EF">
          <w:pPr>
            <w:pStyle w:val="TOC1"/>
            <w:tabs>
              <w:tab w:val="right" w:leader="dot" w:pos="9350"/>
            </w:tabs>
            <w:rPr>
              <w:rFonts w:ascii="Calibri" w:hAnsi="Calibri" w:cs="Calibri"/>
              <w:noProof/>
            </w:rPr>
          </w:pPr>
          <w:hyperlink w:anchor="_Toc222209525" w:history="1">
            <w:r w:rsidRPr="00650B4C">
              <w:rPr>
                <w:rStyle w:val="Hyperlink"/>
                <w:rFonts w:ascii="Calibri" w:hAnsi="Calibri" w:cs="Calibri"/>
                <w:noProof/>
              </w:rPr>
              <w:t>Financial Literacy &amp; Education Content</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_Toc222209525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19</w:t>
            </w:r>
            <w:r w:rsidRPr="00650B4C">
              <w:rPr>
                <w:rFonts w:ascii="Calibri" w:hAnsi="Calibri" w:cs="Calibri"/>
                <w:noProof/>
                <w:webHidden/>
              </w:rPr>
              <w:fldChar w:fldCharType="end"/>
            </w:r>
          </w:hyperlink>
        </w:p>
        <w:p w14:paraId="02F4CD59" w14:textId="488AD055" w:rsidR="00650B4C" w:rsidRPr="00650B4C" w:rsidRDefault="00650B4C" w:rsidP="009913EF">
          <w:pPr>
            <w:pStyle w:val="TOC1"/>
            <w:tabs>
              <w:tab w:val="right" w:leader="dot" w:pos="9350"/>
            </w:tabs>
            <w:rPr>
              <w:rFonts w:ascii="Calibri" w:hAnsi="Calibri" w:cs="Calibri"/>
              <w:noProof/>
            </w:rPr>
          </w:pPr>
          <w:hyperlink w:anchor="_Toc222209526" w:history="1">
            <w:r w:rsidRPr="00650B4C">
              <w:rPr>
                <w:rStyle w:val="Hyperlink"/>
                <w:rFonts w:ascii="Calibri" w:hAnsi="Calibri" w:cs="Calibri"/>
                <w:noProof/>
              </w:rPr>
              <w:t>Employee Recognition &amp; Appreciation</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_Toc222209526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20</w:t>
            </w:r>
            <w:r w:rsidRPr="00650B4C">
              <w:rPr>
                <w:rFonts w:ascii="Calibri" w:hAnsi="Calibri" w:cs="Calibri"/>
                <w:noProof/>
                <w:webHidden/>
              </w:rPr>
              <w:fldChar w:fldCharType="end"/>
            </w:r>
          </w:hyperlink>
        </w:p>
        <w:p w14:paraId="047683F0" w14:textId="63478FDB" w:rsidR="00650B4C" w:rsidRPr="00650B4C" w:rsidRDefault="00650B4C" w:rsidP="009913EF">
          <w:pPr>
            <w:pStyle w:val="TOC1"/>
            <w:tabs>
              <w:tab w:val="right" w:leader="dot" w:pos="9350"/>
            </w:tabs>
            <w:rPr>
              <w:rFonts w:ascii="Calibri" w:hAnsi="Calibri" w:cs="Calibri"/>
              <w:noProof/>
            </w:rPr>
          </w:pPr>
          <w:hyperlink w:anchor="_Toc222209527" w:history="1">
            <w:r w:rsidRPr="00650B4C">
              <w:rPr>
                <w:rStyle w:val="Hyperlink"/>
                <w:rFonts w:ascii="Calibri" w:hAnsi="Calibri" w:cs="Calibri"/>
                <w:noProof/>
              </w:rPr>
              <w:t>New Hire Onboarding Communications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_Toc222209527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21</w:t>
            </w:r>
            <w:r w:rsidRPr="00650B4C">
              <w:rPr>
                <w:rFonts w:ascii="Calibri" w:hAnsi="Calibri" w:cs="Calibri"/>
                <w:noProof/>
                <w:webHidden/>
              </w:rPr>
              <w:fldChar w:fldCharType="end"/>
            </w:r>
          </w:hyperlink>
        </w:p>
        <w:p w14:paraId="51B02EEF" w14:textId="3BFCB389" w:rsidR="00650B4C" w:rsidRPr="00650B4C" w:rsidRDefault="00650B4C" w:rsidP="009913EF">
          <w:pPr>
            <w:pStyle w:val="TOC1"/>
            <w:tabs>
              <w:tab w:val="right" w:leader="dot" w:pos="9350"/>
            </w:tabs>
            <w:rPr>
              <w:rFonts w:ascii="Calibri" w:hAnsi="Calibri" w:cs="Calibri"/>
              <w:noProof/>
            </w:rPr>
          </w:pPr>
          <w:hyperlink w:anchor="_Toc222209528" w:history="1">
            <w:r w:rsidRPr="00650B4C">
              <w:rPr>
                <w:rStyle w:val="Hyperlink"/>
                <w:rFonts w:ascii="Calibri" w:hAnsi="Calibri" w:cs="Calibri"/>
                <w:noProof/>
              </w:rPr>
              <w:t>CRA (Community Reinvestment Act) Narratives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_Toc222209528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22</w:t>
            </w:r>
            <w:r w:rsidRPr="00650B4C">
              <w:rPr>
                <w:rFonts w:ascii="Calibri" w:hAnsi="Calibri" w:cs="Calibri"/>
                <w:noProof/>
                <w:webHidden/>
              </w:rPr>
              <w:fldChar w:fldCharType="end"/>
            </w:r>
          </w:hyperlink>
        </w:p>
        <w:p w14:paraId="6F055FC1" w14:textId="2167F847" w:rsidR="00650B4C" w:rsidRPr="00650B4C" w:rsidRDefault="00650B4C" w:rsidP="009913EF">
          <w:pPr>
            <w:pStyle w:val="TOC1"/>
            <w:tabs>
              <w:tab w:val="right" w:leader="dot" w:pos="9350"/>
            </w:tabs>
            <w:rPr>
              <w:rFonts w:ascii="Calibri" w:hAnsi="Calibri" w:cs="Calibri"/>
              <w:noProof/>
            </w:rPr>
          </w:pPr>
          <w:hyperlink w:anchor="_Toc222209529" w:history="1">
            <w:r w:rsidRPr="00650B4C">
              <w:rPr>
                <w:rStyle w:val="Hyperlink"/>
                <w:rFonts w:ascii="Calibri" w:hAnsi="Calibri" w:cs="Calibri"/>
                <w:noProof/>
              </w:rPr>
              <w:t>Annual Report &amp; Shareholder Narratives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_Toc222209529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23</w:t>
            </w:r>
            <w:r w:rsidRPr="00650B4C">
              <w:rPr>
                <w:rFonts w:ascii="Calibri" w:hAnsi="Calibri" w:cs="Calibri"/>
                <w:noProof/>
                <w:webHidden/>
              </w:rPr>
              <w:fldChar w:fldCharType="end"/>
            </w:r>
          </w:hyperlink>
        </w:p>
        <w:p w14:paraId="3C3750F8" w14:textId="6FC229E4" w:rsidR="00650B4C" w:rsidRPr="00650B4C" w:rsidRDefault="00650B4C" w:rsidP="009913EF">
          <w:pPr>
            <w:pStyle w:val="TOC1"/>
            <w:tabs>
              <w:tab w:val="right" w:leader="dot" w:pos="9350"/>
            </w:tabs>
            <w:rPr>
              <w:rFonts w:ascii="Calibri" w:hAnsi="Calibri" w:cs="Calibri"/>
              <w:noProof/>
            </w:rPr>
          </w:pPr>
          <w:hyperlink w:anchor="_Toc222209530" w:history="1">
            <w:r w:rsidRPr="00650B4C">
              <w:rPr>
                <w:rStyle w:val="Hyperlink"/>
                <w:rFonts w:ascii="Calibri" w:hAnsi="Calibri" w:cs="Calibri"/>
                <w:noProof/>
              </w:rPr>
              <w:t>New Product/Service Launch Announcements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_Toc222209530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24</w:t>
            </w:r>
            <w:r w:rsidRPr="00650B4C">
              <w:rPr>
                <w:rFonts w:ascii="Calibri" w:hAnsi="Calibri" w:cs="Calibri"/>
                <w:noProof/>
                <w:webHidden/>
              </w:rPr>
              <w:fldChar w:fldCharType="end"/>
            </w:r>
          </w:hyperlink>
        </w:p>
        <w:p w14:paraId="312A1CA0" w14:textId="257B8C02" w:rsidR="00650B4C" w:rsidRPr="00650B4C" w:rsidRDefault="00650B4C" w:rsidP="009913EF">
          <w:pPr>
            <w:pStyle w:val="TOC1"/>
            <w:tabs>
              <w:tab w:val="right" w:leader="dot" w:pos="9350"/>
            </w:tabs>
            <w:rPr>
              <w:rFonts w:ascii="Calibri" w:hAnsi="Calibri" w:cs="Calibri"/>
              <w:noProof/>
            </w:rPr>
          </w:pPr>
          <w:hyperlink w:anchor="_Toc222209531" w:history="1">
            <w:r w:rsidRPr="00650B4C">
              <w:rPr>
                <w:rStyle w:val="Hyperlink"/>
                <w:rFonts w:ascii="Calibri" w:hAnsi="Calibri" w:cs="Calibri"/>
                <w:noProof/>
              </w:rPr>
              <w:t>Internal Audit Finding Responses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_Toc222209531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25</w:t>
            </w:r>
            <w:r w:rsidRPr="00650B4C">
              <w:rPr>
                <w:rFonts w:ascii="Calibri" w:hAnsi="Calibri" w:cs="Calibri"/>
                <w:noProof/>
                <w:webHidden/>
              </w:rPr>
              <w:fldChar w:fldCharType="end"/>
            </w:r>
          </w:hyperlink>
        </w:p>
        <w:p w14:paraId="3798FA7F" w14:textId="76021EDC" w:rsidR="00650B4C" w:rsidRPr="00650B4C" w:rsidRDefault="00650B4C" w:rsidP="009913EF">
          <w:pPr>
            <w:pStyle w:val="TOC1"/>
            <w:tabs>
              <w:tab w:val="right" w:leader="dot" w:pos="9350"/>
            </w:tabs>
            <w:rPr>
              <w:rFonts w:ascii="Calibri" w:hAnsi="Calibri" w:cs="Calibri"/>
              <w:noProof/>
            </w:rPr>
          </w:pPr>
          <w:hyperlink w:anchor="_Toc222209532" w:history="1">
            <w:r w:rsidRPr="00650B4C">
              <w:rPr>
                <w:rStyle w:val="Hyperlink"/>
                <w:rFonts w:ascii="Calibri" w:hAnsi="Calibri" w:cs="Calibri"/>
                <w:noProof/>
              </w:rPr>
              <w:t>Business Continuity &amp; Disaster Recovery Communications</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_Toc222209532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26</w:t>
            </w:r>
            <w:r w:rsidRPr="00650B4C">
              <w:rPr>
                <w:rFonts w:ascii="Calibri" w:hAnsi="Calibri" w:cs="Calibri"/>
                <w:noProof/>
                <w:webHidden/>
              </w:rPr>
              <w:fldChar w:fldCharType="end"/>
            </w:r>
          </w:hyperlink>
        </w:p>
        <w:p w14:paraId="02CEA1D9" w14:textId="66FFA7D2" w:rsidR="00650B4C" w:rsidRPr="00650B4C" w:rsidRDefault="00650B4C" w:rsidP="009913EF">
          <w:pPr>
            <w:pStyle w:val="TOC1"/>
            <w:tabs>
              <w:tab w:val="right" w:leader="dot" w:pos="9350"/>
            </w:tabs>
            <w:rPr>
              <w:rFonts w:ascii="Calibri" w:hAnsi="Calibri" w:cs="Calibri"/>
              <w:noProof/>
            </w:rPr>
          </w:pPr>
          <w:hyperlink w:anchor="_Toc222209533" w:history="1">
            <w:r w:rsidRPr="00650B4C">
              <w:rPr>
                <w:rStyle w:val="Hyperlink"/>
                <w:rFonts w:ascii="Calibri" w:hAnsi="Calibri" w:cs="Calibri"/>
                <w:noProof/>
              </w:rPr>
              <w:t>Universal Prompting Best Practice</w:t>
            </w:r>
            <w:r w:rsidRPr="00650B4C">
              <w:rPr>
                <w:rFonts w:ascii="Calibri" w:hAnsi="Calibri" w:cs="Calibri"/>
                <w:noProof/>
                <w:webHidden/>
              </w:rPr>
              <w:tab/>
            </w:r>
            <w:r w:rsidRPr="00650B4C">
              <w:rPr>
                <w:rFonts w:ascii="Calibri" w:hAnsi="Calibri" w:cs="Calibri"/>
                <w:noProof/>
                <w:webHidden/>
              </w:rPr>
              <w:fldChar w:fldCharType="begin"/>
            </w:r>
            <w:r w:rsidRPr="00650B4C">
              <w:rPr>
                <w:rFonts w:ascii="Calibri" w:hAnsi="Calibri" w:cs="Calibri"/>
                <w:noProof/>
                <w:webHidden/>
              </w:rPr>
              <w:instrText xml:space="preserve"> PAGEREF _Toc222209533 \h </w:instrText>
            </w:r>
            <w:r w:rsidRPr="00650B4C">
              <w:rPr>
                <w:rFonts w:ascii="Calibri" w:hAnsi="Calibri" w:cs="Calibri"/>
                <w:noProof/>
                <w:webHidden/>
              </w:rPr>
            </w:r>
            <w:r w:rsidRPr="00650B4C">
              <w:rPr>
                <w:rFonts w:ascii="Calibri" w:hAnsi="Calibri" w:cs="Calibri"/>
                <w:noProof/>
                <w:webHidden/>
              </w:rPr>
              <w:fldChar w:fldCharType="separate"/>
            </w:r>
            <w:r w:rsidRPr="00650B4C">
              <w:rPr>
                <w:rFonts w:ascii="Calibri" w:hAnsi="Calibri" w:cs="Calibri"/>
                <w:noProof/>
                <w:webHidden/>
              </w:rPr>
              <w:t>27</w:t>
            </w:r>
            <w:r w:rsidRPr="00650B4C">
              <w:rPr>
                <w:rFonts w:ascii="Calibri" w:hAnsi="Calibri" w:cs="Calibri"/>
                <w:noProof/>
                <w:webHidden/>
              </w:rPr>
              <w:fldChar w:fldCharType="end"/>
            </w:r>
          </w:hyperlink>
        </w:p>
        <w:p w14:paraId="73A6E67F" w14:textId="78D619D3" w:rsidR="00650B4C" w:rsidRDefault="00650B4C" w:rsidP="009913EF">
          <w:r w:rsidRPr="00650B4C">
            <w:rPr>
              <w:rFonts w:ascii="Calibri" w:hAnsi="Calibri" w:cs="Calibri"/>
              <w:b/>
              <w:bCs/>
              <w:noProof/>
            </w:rPr>
            <w:fldChar w:fldCharType="end"/>
          </w:r>
        </w:p>
      </w:sdtContent>
    </w:sdt>
    <w:p w14:paraId="37D086C0" w14:textId="77777777" w:rsidR="00650B4C" w:rsidRDefault="00650B4C" w:rsidP="009913EF">
      <w:pPr>
        <w:rPr>
          <w:rFonts w:ascii="Calibri" w:hAnsi="Calibri" w:cs="Calibri"/>
          <w:b/>
          <w:bCs/>
          <w:color w:val="000000" w:themeColor="text1"/>
          <w:sz w:val="32"/>
          <w:szCs w:val="32"/>
        </w:rPr>
      </w:pPr>
      <w:r>
        <w:rPr>
          <w:rFonts w:ascii="Calibri" w:hAnsi="Calibri" w:cs="Calibri"/>
          <w:b/>
          <w:bCs/>
          <w:color w:val="000000" w:themeColor="text1"/>
          <w:sz w:val="32"/>
          <w:szCs w:val="32"/>
        </w:rPr>
        <w:br w:type="page"/>
      </w:r>
    </w:p>
    <w:p w14:paraId="57F6F45E" w14:textId="28509E2A" w:rsidR="006032A1" w:rsidRPr="00051252" w:rsidRDefault="00051252" w:rsidP="009913EF">
      <w:pPr>
        <w:pBdr>
          <w:bottom w:val="single" w:sz="4" w:space="1" w:color="auto"/>
        </w:pBdr>
        <w:jc w:val="center"/>
        <w:rPr>
          <w:rFonts w:ascii="Calibri" w:hAnsi="Calibri" w:cs="Calibri"/>
          <w:color w:val="000000" w:themeColor="text1"/>
          <w:sz w:val="32"/>
          <w:szCs w:val="32"/>
        </w:rPr>
      </w:pPr>
      <w:r w:rsidRPr="00051252">
        <w:rPr>
          <w:rFonts w:ascii="Calibri" w:hAnsi="Calibri" w:cs="Calibri"/>
          <w:b/>
          <w:bCs/>
          <w:color w:val="000000" w:themeColor="text1"/>
          <w:sz w:val="32"/>
          <w:szCs w:val="32"/>
        </w:rPr>
        <w:lastRenderedPageBreak/>
        <w:t>Generative AI Style Guide</w:t>
      </w:r>
    </w:p>
    <w:p w14:paraId="485C5C32" w14:textId="78D5123A" w:rsidR="006032A1" w:rsidRPr="00650B4C" w:rsidRDefault="00051252" w:rsidP="009913EF">
      <w:pPr>
        <w:pStyle w:val="Heading1"/>
      </w:pPr>
      <w:bookmarkStart w:id="0" w:name="_Toc222209508"/>
      <w:r w:rsidRPr="00650B4C">
        <w:t>How to use this guide</w:t>
      </w:r>
      <w:bookmarkEnd w:id="0"/>
    </w:p>
    <w:p w14:paraId="1A49B578" w14:textId="77777777" w:rsidR="006032A1" w:rsidRPr="00051252" w:rsidRDefault="006032A1" w:rsidP="009913EF">
      <w:pPr>
        <w:rPr>
          <w:rFonts w:ascii="Calibri" w:hAnsi="Calibri" w:cs="Calibri"/>
          <w:color w:val="000000" w:themeColor="text1"/>
        </w:rPr>
      </w:pPr>
    </w:p>
    <w:p w14:paraId="1FD6EFDF" w14:textId="53B62C5A"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1"/>
          <w:szCs w:val="21"/>
        </w:rPr>
        <w:t>This document provides Generative AI style guides designed for</w:t>
      </w:r>
      <w:r w:rsidR="00051252">
        <w:rPr>
          <w:rFonts w:ascii="Calibri" w:hAnsi="Calibri" w:cs="Calibri"/>
          <w:color w:val="000000" w:themeColor="text1"/>
          <w:sz w:val="21"/>
          <w:szCs w:val="21"/>
        </w:rPr>
        <w:t xml:space="preserve"> </w:t>
      </w:r>
      <w:r w:rsidRPr="00051252">
        <w:rPr>
          <w:rFonts w:ascii="Calibri" w:hAnsi="Calibri" w:cs="Calibri"/>
          <w:color w:val="000000" w:themeColor="text1"/>
          <w:sz w:val="21"/>
          <w:szCs w:val="21"/>
        </w:rPr>
        <w:t>employees to create consistent, compliant, and professional communications using AI tools. Each guide includes:</w:t>
      </w:r>
    </w:p>
    <w:p w14:paraId="13BD1049"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Purpose: </w:t>
      </w:r>
      <w:r w:rsidRPr="00051252">
        <w:rPr>
          <w:rFonts w:ascii="Calibri" w:hAnsi="Calibri" w:cs="Calibri"/>
          <w:color w:val="000000" w:themeColor="text1"/>
          <w:sz w:val="21"/>
          <w:szCs w:val="21"/>
        </w:rPr>
        <w:t>Explains when and why to use this communication type.</w:t>
      </w:r>
    </w:p>
    <w:p w14:paraId="572684EE"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Tone &amp; Voice: </w:t>
      </w:r>
      <w:r w:rsidRPr="00051252">
        <w:rPr>
          <w:rFonts w:ascii="Calibri" w:hAnsi="Calibri" w:cs="Calibri"/>
          <w:color w:val="000000" w:themeColor="text1"/>
          <w:sz w:val="21"/>
          <w:szCs w:val="21"/>
        </w:rPr>
        <w:t>Defines the appropriate writing style and emotional register.</w:t>
      </w:r>
    </w:p>
    <w:p w14:paraId="7BC6721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Key Elements: </w:t>
      </w:r>
      <w:proofErr w:type="gramStart"/>
      <w:r w:rsidRPr="00051252">
        <w:rPr>
          <w:rFonts w:ascii="Calibri" w:hAnsi="Calibri" w:cs="Calibri"/>
          <w:color w:val="000000" w:themeColor="text1"/>
          <w:sz w:val="21"/>
          <w:szCs w:val="21"/>
        </w:rPr>
        <w:t>Lists</w:t>
      </w:r>
      <w:proofErr w:type="gramEnd"/>
      <w:r w:rsidRPr="00051252">
        <w:rPr>
          <w:rFonts w:ascii="Calibri" w:hAnsi="Calibri" w:cs="Calibri"/>
          <w:color w:val="000000" w:themeColor="text1"/>
          <w:sz w:val="21"/>
          <w:szCs w:val="21"/>
        </w:rPr>
        <w:t xml:space="preserve"> the essential components to include in every output.</w:t>
      </w:r>
    </w:p>
    <w:p w14:paraId="07135E6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Compliance Notes: </w:t>
      </w:r>
      <w:r w:rsidRPr="00051252">
        <w:rPr>
          <w:rFonts w:ascii="Calibri" w:hAnsi="Calibri" w:cs="Calibri"/>
          <w:color w:val="000000" w:themeColor="text1"/>
          <w:sz w:val="21"/>
          <w:szCs w:val="21"/>
        </w:rPr>
        <w:t>Highlights regulatory requirements and risk considerations.</w:t>
      </w:r>
    </w:p>
    <w:p w14:paraId="0D18857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Example Prompt: </w:t>
      </w:r>
      <w:r w:rsidRPr="00051252">
        <w:rPr>
          <w:rFonts w:ascii="Calibri" w:hAnsi="Calibri" w:cs="Calibri"/>
          <w:color w:val="000000" w:themeColor="text1"/>
          <w:sz w:val="21"/>
          <w:szCs w:val="21"/>
        </w:rPr>
        <w:t>Provides a ready-to-customize prompt template for your AI tool.</w:t>
      </w:r>
    </w:p>
    <w:p w14:paraId="00C59C26"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1"/>
          <w:szCs w:val="21"/>
        </w:rPr>
        <w:t>Do’s</w:t>
      </w:r>
      <w:proofErr w:type="gramEnd"/>
      <w:r w:rsidRPr="00051252">
        <w:rPr>
          <w:rFonts w:ascii="Calibri" w:hAnsi="Calibri" w:cs="Calibri"/>
          <w:b/>
          <w:bCs/>
          <w:color w:val="000000" w:themeColor="text1"/>
          <w:sz w:val="21"/>
          <w:szCs w:val="21"/>
        </w:rPr>
        <w:t xml:space="preserve"> and Don’ts: </w:t>
      </w:r>
      <w:r w:rsidRPr="00051252">
        <w:rPr>
          <w:rFonts w:ascii="Calibri" w:hAnsi="Calibri" w:cs="Calibri"/>
          <w:color w:val="000000" w:themeColor="text1"/>
          <w:sz w:val="21"/>
          <w:szCs w:val="21"/>
        </w:rPr>
        <w:t>Quick-reference guardrails to review before sending.</w:t>
      </w:r>
    </w:p>
    <w:p w14:paraId="380416D3" w14:textId="77777777" w:rsidR="006032A1" w:rsidRPr="00051252" w:rsidRDefault="006032A1" w:rsidP="009913EF">
      <w:pPr>
        <w:rPr>
          <w:rFonts w:ascii="Calibri" w:hAnsi="Calibri" w:cs="Calibri"/>
          <w:color w:val="000000" w:themeColor="text1"/>
        </w:rPr>
      </w:pPr>
    </w:p>
    <w:p w14:paraId="0FEC7F43" w14:textId="797632F2" w:rsidR="006032A1" w:rsidRPr="00E6325A" w:rsidRDefault="008363B1" w:rsidP="009913EF">
      <w:pPr>
        <w:rPr>
          <w:rFonts w:ascii="Calibri" w:hAnsi="Calibri" w:cs="Calibri"/>
          <w:color w:val="C00000"/>
        </w:rPr>
      </w:pPr>
      <w:r>
        <w:rPr>
          <w:rFonts w:ascii="Calibri" w:hAnsi="Calibri" w:cs="Calibri"/>
          <w:color w:val="C00000"/>
          <w:sz w:val="21"/>
          <w:szCs w:val="21"/>
        </w:rPr>
        <w:t>****</w:t>
      </w:r>
      <w:r w:rsidRPr="00E6325A">
        <w:rPr>
          <w:rFonts w:ascii="Calibri" w:hAnsi="Calibri" w:cs="Calibri"/>
          <w:color w:val="C00000"/>
          <w:sz w:val="21"/>
          <w:szCs w:val="21"/>
        </w:rPr>
        <w:t>I</w:t>
      </w:r>
      <w:r w:rsidR="00B94000" w:rsidRPr="00E6325A">
        <w:rPr>
          <w:rFonts w:ascii="Calibri" w:hAnsi="Calibri" w:cs="Calibri"/>
          <w:color w:val="C00000"/>
          <w:sz w:val="21"/>
          <w:szCs w:val="21"/>
        </w:rPr>
        <w:t>mportant</w:t>
      </w:r>
      <w:r w:rsidRPr="00E6325A">
        <w:rPr>
          <w:rFonts w:ascii="Calibri" w:hAnsi="Calibri" w:cs="Calibri"/>
          <w:color w:val="C00000"/>
          <w:sz w:val="21"/>
          <w:szCs w:val="21"/>
        </w:rPr>
        <w:t>: All AI-generated content must be reviewed by a qualified employee before distribution</w:t>
      </w:r>
      <w:r w:rsidR="00051252" w:rsidRPr="00E6325A">
        <w:rPr>
          <w:rFonts w:ascii="Calibri" w:hAnsi="Calibri" w:cs="Calibri"/>
          <w:color w:val="C00000"/>
          <w:sz w:val="21"/>
          <w:szCs w:val="21"/>
        </w:rPr>
        <w:t xml:space="preserve"> or use for decision making.  All usage of content </w:t>
      </w:r>
      <w:proofErr w:type="gramStart"/>
      <w:r w:rsidR="00051252" w:rsidRPr="00E6325A">
        <w:rPr>
          <w:rFonts w:ascii="Calibri" w:hAnsi="Calibri" w:cs="Calibri"/>
          <w:color w:val="C00000"/>
          <w:sz w:val="21"/>
          <w:szCs w:val="21"/>
        </w:rPr>
        <w:t>produce</w:t>
      </w:r>
      <w:proofErr w:type="gramEnd"/>
      <w:r w:rsidR="00051252" w:rsidRPr="00E6325A">
        <w:rPr>
          <w:rFonts w:ascii="Calibri" w:hAnsi="Calibri" w:cs="Calibri"/>
          <w:color w:val="C00000"/>
          <w:sz w:val="21"/>
          <w:szCs w:val="21"/>
        </w:rPr>
        <w:t xml:space="preserve"> by AI is the responsibility of the employee</w:t>
      </w:r>
      <w:r w:rsidRPr="00E6325A">
        <w:rPr>
          <w:rFonts w:ascii="Calibri" w:hAnsi="Calibri" w:cs="Calibri"/>
          <w:color w:val="C00000"/>
          <w:sz w:val="21"/>
          <w:szCs w:val="21"/>
        </w:rPr>
        <w:t>. AI is a drafting tool, not a decision-maker. Compliance</w:t>
      </w:r>
      <w:r w:rsidR="00051252" w:rsidRPr="00E6325A">
        <w:rPr>
          <w:rFonts w:ascii="Calibri" w:hAnsi="Calibri" w:cs="Calibri"/>
          <w:color w:val="C00000"/>
          <w:sz w:val="21"/>
          <w:szCs w:val="21"/>
        </w:rPr>
        <w:t xml:space="preserve"> </w:t>
      </w:r>
      <w:r w:rsidRPr="00E6325A">
        <w:rPr>
          <w:rFonts w:ascii="Calibri" w:hAnsi="Calibri" w:cs="Calibri"/>
          <w:color w:val="C00000"/>
          <w:sz w:val="21"/>
          <w:szCs w:val="21"/>
        </w:rPr>
        <w:t xml:space="preserve">sensitive communications </w:t>
      </w:r>
      <w:proofErr w:type="gramStart"/>
      <w:r w:rsidRPr="00E6325A">
        <w:rPr>
          <w:rFonts w:ascii="Calibri" w:hAnsi="Calibri" w:cs="Calibri"/>
          <w:color w:val="C00000"/>
          <w:sz w:val="21"/>
          <w:szCs w:val="21"/>
        </w:rPr>
        <w:t>require</w:t>
      </w:r>
      <w:r w:rsidR="00051252" w:rsidRPr="00E6325A">
        <w:rPr>
          <w:rFonts w:ascii="Calibri" w:hAnsi="Calibri" w:cs="Calibri"/>
          <w:color w:val="C00000"/>
          <w:sz w:val="21"/>
          <w:szCs w:val="21"/>
        </w:rPr>
        <w:t>s</w:t>
      </w:r>
      <w:proofErr w:type="gramEnd"/>
      <w:r w:rsidRPr="00E6325A">
        <w:rPr>
          <w:rFonts w:ascii="Calibri" w:hAnsi="Calibri" w:cs="Calibri"/>
          <w:color w:val="C00000"/>
          <w:sz w:val="21"/>
          <w:szCs w:val="21"/>
        </w:rPr>
        <w:t xml:space="preserve"> review by the </w:t>
      </w:r>
      <w:r w:rsidR="00051252" w:rsidRPr="00E6325A">
        <w:rPr>
          <w:rFonts w:ascii="Calibri" w:hAnsi="Calibri" w:cs="Calibri"/>
          <w:color w:val="C00000"/>
          <w:sz w:val="21"/>
          <w:szCs w:val="21"/>
        </w:rPr>
        <w:t xml:space="preserve">Chief Compliance </w:t>
      </w:r>
      <w:proofErr w:type="gramStart"/>
      <w:r w:rsidR="00051252" w:rsidRPr="00E6325A">
        <w:rPr>
          <w:rFonts w:ascii="Calibri" w:hAnsi="Calibri" w:cs="Calibri"/>
          <w:color w:val="C00000"/>
          <w:sz w:val="21"/>
          <w:szCs w:val="21"/>
        </w:rPr>
        <w:t>Officer</w:t>
      </w:r>
      <w:r>
        <w:rPr>
          <w:rFonts w:ascii="Calibri" w:hAnsi="Calibri" w:cs="Calibri"/>
          <w:color w:val="C00000"/>
          <w:sz w:val="21"/>
          <w:szCs w:val="21"/>
        </w:rPr>
        <w:t>.*</w:t>
      </w:r>
      <w:proofErr w:type="gramEnd"/>
      <w:r>
        <w:rPr>
          <w:rFonts w:ascii="Calibri" w:hAnsi="Calibri" w:cs="Calibri"/>
          <w:color w:val="C00000"/>
          <w:sz w:val="21"/>
          <w:szCs w:val="21"/>
        </w:rPr>
        <w:t>***</w:t>
      </w:r>
    </w:p>
    <w:p w14:paraId="7EDAEDC6" w14:textId="77777777" w:rsidR="006032A1" w:rsidRPr="00051252" w:rsidRDefault="006032A1" w:rsidP="009913EF">
      <w:pPr>
        <w:rPr>
          <w:rFonts w:ascii="Calibri" w:hAnsi="Calibri" w:cs="Calibri"/>
          <w:color w:val="000000" w:themeColor="text1"/>
        </w:rPr>
      </w:pPr>
    </w:p>
    <w:p w14:paraId="5E2DED21" w14:textId="6947E04F" w:rsidR="006032A1" w:rsidRPr="00051252" w:rsidRDefault="003F549C" w:rsidP="009913EF">
      <w:pPr>
        <w:rPr>
          <w:rFonts w:ascii="Calibri" w:hAnsi="Calibri" w:cs="Calibri"/>
          <w:color w:val="000000" w:themeColor="text1"/>
        </w:rPr>
        <w:sectPr w:rsidR="006032A1" w:rsidRPr="00051252">
          <w:headerReference w:type="default" r:id="rId8"/>
          <w:pgSz w:w="12240" w:h="15840"/>
          <w:pgMar w:top="1440" w:right="1440" w:bottom="1440" w:left="1440" w:header="708" w:footer="708" w:gutter="0"/>
          <w:cols w:space="720"/>
          <w:docGrid w:linePitch="360"/>
        </w:sectPr>
      </w:pPr>
      <w:r w:rsidRPr="00051252">
        <w:rPr>
          <w:rFonts w:ascii="Calibri" w:hAnsi="Calibri" w:cs="Calibri"/>
          <w:color w:val="000000" w:themeColor="text1"/>
          <w:sz w:val="21"/>
          <w:szCs w:val="21"/>
        </w:rPr>
        <w:t xml:space="preserve">Replace all [bracketed placeholders] with </w:t>
      </w:r>
      <w:r w:rsidR="00051252">
        <w:rPr>
          <w:rFonts w:ascii="Calibri" w:hAnsi="Calibri" w:cs="Calibri"/>
          <w:color w:val="000000" w:themeColor="text1"/>
          <w:sz w:val="21"/>
          <w:szCs w:val="21"/>
        </w:rPr>
        <w:t>Bank</w:t>
      </w:r>
      <w:r w:rsidRPr="00051252">
        <w:rPr>
          <w:rFonts w:ascii="Calibri" w:hAnsi="Calibri" w:cs="Calibri"/>
          <w:color w:val="000000" w:themeColor="text1"/>
          <w:sz w:val="21"/>
          <w:szCs w:val="21"/>
        </w:rPr>
        <w:t xml:space="preserve"> specific information before using any </w:t>
      </w:r>
      <w:r w:rsidR="00051252">
        <w:rPr>
          <w:rFonts w:ascii="Calibri" w:hAnsi="Calibri" w:cs="Calibri"/>
          <w:color w:val="000000" w:themeColor="text1"/>
          <w:sz w:val="21"/>
          <w:szCs w:val="21"/>
        </w:rPr>
        <w:t>style example.</w:t>
      </w:r>
    </w:p>
    <w:p w14:paraId="5A8D1982" w14:textId="77777777" w:rsidR="006032A1" w:rsidRPr="003E7790" w:rsidRDefault="003F549C" w:rsidP="009913EF">
      <w:pPr>
        <w:pStyle w:val="Heading1"/>
      </w:pPr>
      <w:bookmarkStart w:id="1" w:name="_Toc222209509"/>
      <w:r w:rsidRPr="003E7790">
        <w:lastRenderedPageBreak/>
        <w:t>Customer Welcome &amp; Account Opening Letters</w:t>
      </w:r>
      <w:bookmarkEnd w:id="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4CE78B32"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2187EBE"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0C33C2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Welcome new customers, confirm account details, introduce key services and contacts, and set the tone for a long-term banking relationship.</w:t>
            </w:r>
          </w:p>
        </w:tc>
      </w:tr>
      <w:tr w:rsidR="00051252" w:rsidRPr="00051252" w14:paraId="6941655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9D3CDA3"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D84C33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Warm, professional, and </w:t>
            </w:r>
            <w:proofErr w:type="gramStart"/>
            <w:r w:rsidRPr="00051252">
              <w:rPr>
                <w:rFonts w:ascii="Calibri" w:hAnsi="Calibri" w:cs="Calibri"/>
                <w:color w:val="000000" w:themeColor="text1"/>
                <w:sz w:val="20"/>
                <w:szCs w:val="20"/>
              </w:rPr>
              <w:t>community-focused</w:t>
            </w:r>
            <w:proofErr w:type="gramEnd"/>
            <w:r w:rsidRPr="00051252">
              <w:rPr>
                <w:rFonts w:ascii="Calibri" w:hAnsi="Calibri" w:cs="Calibri"/>
                <w:color w:val="000000" w:themeColor="text1"/>
                <w:sz w:val="20"/>
                <w:szCs w:val="20"/>
              </w:rPr>
              <w:t>. Use the customer’s name. Convey genuine appreciation for choosing your bank. Avoid corporate jargon.</w:t>
            </w:r>
          </w:p>
        </w:tc>
      </w:tr>
      <w:tr w:rsidR="00051252" w:rsidRPr="00051252" w14:paraId="721E119F"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CD90D4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DDF146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Customer name and account type; branch contact information and hours; overview of digital banking enrollment; mention of FDIC insurance; next steps or onboarding checklist; personal banker introduction.</w:t>
            </w:r>
          </w:p>
        </w:tc>
      </w:tr>
      <w:tr w:rsidR="00051252" w:rsidRPr="00051252" w14:paraId="20F3E917"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697041D"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A85900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Ensure FDIC membership language is included. Do not reference specific account numbers in full. Comply with Reg DD (Truth in Savings) disclosure requirements where applicable.</w:t>
            </w:r>
          </w:p>
        </w:tc>
      </w:tr>
    </w:tbl>
    <w:p w14:paraId="4841CAD5" w14:textId="77777777" w:rsidR="006032A1" w:rsidRPr="00051252" w:rsidRDefault="006032A1" w:rsidP="009913EF">
      <w:pPr>
        <w:rPr>
          <w:rFonts w:ascii="Calibri" w:hAnsi="Calibri" w:cs="Calibri"/>
          <w:color w:val="000000" w:themeColor="text1"/>
        </w:rPr>
      </w:pPr>
    </w:p>
    <w:p w14:paraId="53C69997" w14:textId="77777777" w:rsidR="006032A1" w:rsidRPr="00051252" w:rsidRDefault="006032A1" w:rsidP="009913EF">
      <w:pPr>
        <w:rPr>
          <w:rFonts w:ascii="Calibri" w:hAnsi="Calibri" w:cs="Calibri"/>
          <w:color w:val="000000" w:themeColor="text1"/>
        </w:rPr>
      </w:pPr>
    </w:p>
    <w:p w14:paraId="04FF2833"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319C0C62"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4BB5E70C" w14:textId="270244BB"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1C6D8BE2" w14:textId="7E195078"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DON'T</w:t>
            </w:r>
          </w:p>
        </w:tc>
      </w:tr>
      <w:tr w:rsidR="00051252" w:rsidRPr="00051252" w14:paraId="1C77A323"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A93D6A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Personalize with customer name and account type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49FAB3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overly formal or legalistic language</w:t>
            </w:r>
          </w:p>
        </w:tc>
      </w:tr>
      <w:tr w:rsidR="00051252" w:rsidRPr="00051252" w14:paraId="71E2DE0C"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4BA46D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FDIC membership statement</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93D5B42" w14:textId="06D73068"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w:t>
            </w:r>
            <w:r w:rsidR="001E7D15">
              <w:rPr>
                <w:rFonts w:ascii="Calibri" w:hAnsi="Calibri" w:cs="Calibri"/>
                <w:color w:val="000000" w:themeColor="text1"/>
                <w:sz w:val="19"/>
                <w:szCs w:val="19"/>
              </w:rPr>
              <w:t xml:space="preserve"> </w:t>
            </w:r>
            <w:r w:rsidRPr="00051252">
              <w:rPr>
                <w:rFonts w:ascii="Calibri" w:hAnsi="Calibri" w:cs="Calibri"/>
                <w:color w:val="000000" w:themeColor="text1"/>
                <w:sz w:val="19"/>
                <w:szCs w:val="19"/>
              </w:rPr>
              <w:t>account numbers</w:t>
            </w:r>
            <w:r w:rsidR="001E7D15">
              <w:rPr>
                <w:rFonts w:ascii="Calibri" w:hAnsi="Calibri" w:cs="Calibri"/>
                <w:color w:val="000000" w:themeColor="text1"/>
                <w:sz w:val="19"/>
                <w:szCs w:val="19"/>
              </w:rPr>
              <w:t xml:space="preserve"> or any collected PII</w:t>
            </w:r>
          </w:p>
        </w:tc>
      </w:tr>
      <w:tr w:rsidR="00051252" w:rsidRPr="00051252" w14:paraId="52719251"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76D61D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Mention specific branch staff by name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A4FCCD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promises about rates or returns</w:t>
            </w:r>
          </w:p>
        </w:tc>
      </w:tr>
      <w:tr w:rsidR="00051252" w:rsidRPr="00051252" w14:paraId="1A9C7C2F"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A071B3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clear next steps for digital enrollment</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DAB2AF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generic “Dear Valued Customer”</w:t>
            </w:r>
          </w:p>
        </w:tc>
      </w:tr>
      <w:tr w:rsidR="00051252" w:rsidRPr="00051252" w14:paraId="1DAD2413"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054D5D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Reference community involvement</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19D615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Overwhelm with too many product pitches</w:t>
            </w:r>
          </w:p>
        </w:tc>
      </w:tr>
    </w:tbl>
    <w:p w14:paraId="164DB55C" w14:textId="77777777" w:rsidR="006032A1" w:rsidRPr="00051252" w:rsidRDefault="006032A1" w:rsidP="009913EF">
      <w:pPr>
        <w:rPr>
          <w:rFonts w:ascii="Calibri" w:hAnsi="Calibri" w:cs="Calibri"/>
          <w:color w:val="000000" w:themeColor="text1"/>
        </w:rPr>
      </w:pPr>
    </w:p>
    <w:tbl>
      <w:tblPr>
        <w:tblpPr w:leftFromText="180" w:rightFromText="180" w:vertAnchor="text" w:horzAnchor="margin" w:tblpY="-79"/>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2D5C53AD"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7F8BB0BC"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2D082ABD"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warm welcome letter for a new checking account customer at [Bank Name]. Include FDIC language, introduce their personal banker [Name], mention mobile banking enrollment, and provide branch hours. Tone should feel like a neighbor welcoming them, not a corporation onboarding a number.</w:t>
            </w:r>
          </w:p>
        </w:tc>
      </w:tr>
    </w:tbl>
    <w:p w14:paraId="73626B26" w14:textId="77777777" w:rsidR="004D6E4B" w:rsidRDefault="004D6E4B" w:rsidP="009913EF">
      <w:pPr>
        <w:rPr>
          <w:rFonts w:ascii="Calibri" w:hAnsi="Calibri" w:cs="Calibri"/>
          <w:b/>
          <w:bCs/>
          <w:color w:val="C00000"/>
          <w:sz w:val="24"/>
          <w:szCs w:val="24"/>
        </w:rPr>
      </w:pPr>
      <w:r>
        <w:br w:type="page"/>
      </w:r>
    </w:p>
    <w:p w14:paraId="5291E76B" w14:textId="70EA9BA8" w:rsidR="006032A1" w:rsidRPr="00051252" w:rsidRDefault="003F549C" w:rsidP="009913EF">
      <w:pPr>
        <w:pStyle w:val="Heading1"/>
      </w:pPr>
      <w:bookmarkStart w:id="2" w:name="_Toc222209510"/>
      <w:r w:rsidRPr="00051252">
        <w:lastRenderedPageBreak/>
        <w:t>Loan Approval Notifications</w:t>
      </w:r>
      <w:bookmarkEnd w:id="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57C7D89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267DE45"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5C6D43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Notify applicants of loan approval, communicate key terms, and guide them through next steps to closing.</w:t>
            </w:r>
          </w:p>
        </w:tc>
      </w:tr>
      <w:tr w:rsidR="00051252" w:rsidRPr="00051252" w14:paraId="1A82D0D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8CDACF8"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57166D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Congratulatory, clear, and reassuring. Celebrate the milestone while maintaining professionalism. Be precise about terms without being intimidating.</w:t>
            </w:r>
          </w:p>
        </w:tc>
      </w:tr>
      <w:tr w:rsidR="00051252" w:rsidRPr="00051252" w14:paraId="4BA37F1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791E13B"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27A5F3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Borrower name; loan type and approved amount; interest rate and term; next steps and required documents; closing timeline; loan officer contact information; equal housing lender language.</w:t>
            </w:r>
          </w:p>
        </w:tc>
      </w:tr>
      <w:tr w:rsidR="00051252" w:rsidRPr="00051252" w14:paraId="501D66AD"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A4FABCF"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D7F1A3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Include Equal Housing Lender logo/language. Comply with TILA, RESPA, and Reg Z disclosure requirements. Do not guarantee final terms until closing documents are signed. Include NMLS numbers where required.</w:t>
            </w:r>
          </w:p>
        </w:tc>
      </w:tr>
    </w:tbl>
    <w:p w14:paraId="12F8EB9E" w14:textId="77777777" w:rsidR="006032A1" w:rsidRPr="00051252" w:rsidRDefault="006032A1" w:rsidP="009913EF">
      <w:pPr>
        <w:rPr>
          <w:rFonts w:ascii="Calibri" w:hAnsi="Calibri" w:cs="Calibri"/>
          <w:color w:val="000000" w:themeColor="text1"/>
        </w:rPr>
      </w:pPr>
    </w:p>
    <w:p w14:paraId="1551112C" w14:textId="77777777" w:rsidR="006032A1" w:rsidRPr="00051252" w:rsidRDefault="006032A1" w:rsidP="009913EF">
      <w:pPr>
        <w:rPr>
          <w:rFonts w:ascii="Calibri" w:hAnsi="Calibri" w:cs="Calibri"/>
          <w:color w:val="000000" w:themeColor="text1"/>
        </w:rPr>
      </w:pPr>
    </w:p>
    <w:p w14:paraId="620C7F34"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789DF827"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1478CCE7" w14:textId="0F9344A7"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795979AE" w14:textId="4B6672F7"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2013ED53"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F45D86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Lead with the good news clearly</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58B67A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Guarantee final terms before closing</w:t>
            </w:r>
          </w:p>
        </w:tc>
      </w:tr>
      <w:tr w:rsidR="00051252" w:rsidRPr="00051252" w14:paraId="74007642"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7844E7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State all key terms plainly</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9C2DF6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complex financial jargon without explanation</w:t>
            </w:r>
          </w:p>
        </w:tc>
      </w:tr>
      <w:tr w:rsidR="00051252" w:rsidRPr="00051252" w14:paraId="44D44588"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0C5C30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 clear timeline and next steps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DD6CF1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Equal Housing Lender language</w:t>
            </w:r>
          </w:p>
        </w:tc>
      </w:tr>
      <w:tr w:rsidR="00051252" w:rsidRPr="00051252" w14:paraId="31F5104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E7C3C8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direct contact for questions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F2A39B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Rush the customer with aggressive timelines</w:t>
            </w:r>
          </w:p>
        </w:tc>
      </w:tr>
      <w:tr w:rsidR="00051252" w:rsidRPr="00051252" w14:paraId="4C5BECFA"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17F264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required regulatory language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5EB3BA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sensitive financial details unnecessarily</w:t>
            </w:r>
          </w:p>
        </w:tc>
      </w:tr>
    </w:tbl>
    <w:tbl>
      <w:tblPr>
        <w:tblpPr w:leftFromText="180" w:rightFromText="180" w:vertAnchor="text" w:horzAnchor="margin" w:tblpY="164"/>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1722DA62"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3155375C"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2D39A2AF"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loan approval notification for a $275,000 30-year fixed mortgage at 6.25% for [Customer Name]. Include next steps for document submission, estimated closing timeline of 30 days, loan officer contact info, and Equal Housing Lender language. Tone should be congratulatory but professional.</w:t>
            </w:r>
          </w:p>
        </w:tc>
      </w:tr>
    </w:tbl>
    <w:p w14:paraId="7D9F09F5" w14:textId="159236D7" w:rsidR="0078494A" w:rsidRDefault="0078494A" w:rsidP="009913EF">
      <w:pPr>
        <w:rPr>
          <w:rFonts w:ascii="Calibri" w:hAnsi="Calibri" w:cs="Calibri"/>
          <w:color w:val="000000" w:themeColor="text1"/>
        </w:rPr>
      </w:pPr>
    </w:p>
    <w:p w14:paraId="254E98A5" w14:textId="77777777" w:rsidR="0078494A" w:rsidRDefault="0078494A" w:rsidP="009913EF">
      <w:pPr>
        <w:rPr>
          <w:rFonts w:ascii="Calibri" w:hAnsi="Calibri" w:cs="Calibri"/>
          <w:color w:val="000000" w:themeColor="text1"/>
        </w:rPr>
      </w:pPr>
      <w:r>
        <w:rPr>
          <w:rFonts w:ascii="Calibri" w:hAnsi="Calibri" w:cs="Calibri"/>
          <w:color w:val="000000" w:themeColor="text1"/>
        </w:rPr>
        <w:br w:type="page"/>
      </w:r>
    </w:p>
    <w:p w14:paraId="213E5EA7" w14:textId="77777777" w:rsidR="006032A1" w:rsidRPr="0075680D" w:rsidRDefault="003F549C" w:rsidP="009913EF">
      <w:pPr>
        <w:pStyle w:val="Heading1"/>
      </w:pPr>
      <w:bookmarkStart w:id="3" w:name="_Toc222209511"/>
      <w:r w:rsidRPr="0075680D">
        <w:lastRenderedPageBreak/>
        <w:t>Loan Denial / Adverse Action Notices</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52FC014F"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0C1FB5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CD42E2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Notify applicants of credit denial while complying with ECOA and FCRA requirements and preserving the customer relationship.</w:t>
            </w:r>
          </w:p>
        </w:tc>
      </w:tr>
      <w:tr w:rsidR="00051252" w:rsidRPr="00051252" w14:paraId="0BE6D281"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8CB1DCD"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342FCB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Empathetic, respectful, and factually precise. Avoid language that feels dismissive. Acknowledge the disappointment while clearly explaining the reasons and next steps.</w:t>
            </w:r>
          </w:p>
        </w:tc>
      </w:tr>
      <w:tr w:rsidR="00051252" w:rsidRPr="00051252" w14:paraId="5BC38C75"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31264B4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523717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Applicant name; specific reasons for denial (from adverse action checklist); credit bureau used and contact info; right to obtain free credit report within 60 days; right to dispute; alternative products or next steps; ECOA notice; bank contact for questions.</w:t>
            </w:r>
          </w:p>
        </w:tc>
      </w:tr>
      <w:tr w:rsidR="00051252" w:rsidRPr="00051252" w14:paraId="7AE3826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7F05C3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B0F740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CRITICAL COMPLIANCE AREA. Must comply with ECOA (Reg B) and FCRA requirements. Include specific reasons for adverse action. Provide credit reporting agency name, address, and phone number. Include statement that CRA did not make decision. Must be sent within 30 days of action.</w:t>
            </w:r>
          </w:p>
        </w:tc>
      </w:tr>
    </w:tbl>
    <w:p w14:paraId="050F1419" w14:textId="77777777" w:rsidR="006032A1" w:rsidRPr="00051252" w:rsidRDefault="006032A1" w:rsidP="009913EF">
      <w:pPr>
        <w:rPr>
          <w:rFonts w:ascii="Calibri" w:hAnsi="Calibri" w:cs="Calibri"/>
          <w:color w:val="000000" w:themeColor="text1"/>
        </w:rPr>
      </w:pPr>
    </w:p>
    <w:p w14:paraId="5DB739D9" w14:textId="77777777" w:rsidR="006032A1" w:rsidRPr="00051252" w:rsidRDefault="006032A1" w:rsidP="009913EF">
      <w:pPr>
        <w:rPr>
          <w:rFonts w:ascii="Calibri" w:hAnsi="Calibri" w:cs="Calibri"/>
          <w:color w:val="000000" w:themeColor="text1"/>
        </w:rPr>
      </w:pPr>
    </w:p>
    <w:p w14:paraId="59332341"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70502822"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19DC6442" w14:textId="405FBCD0"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36FF042E" w14:textId="48A166F3"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2B06B40B"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E208ED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specific, factual denial reasons from your checklist</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215D7D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vague or evasive language for denial reasons</w:t>
            </w:r>
          </w:p>
        </w:tc>
      </w:tr>
      <w:tr w:rsidR="00051252" w:rsidRPr="00051252" w14:paraId="1E5809EB"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B35C86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all FCRA-required credit bureau information</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95649C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the letter feel punitive or judgmental</w:t>
            </w:r>
          </w:p>
        </w:tc>
      </w:tr>
      <w:tr w:rsidR="00051252" w:rsidRPr="00051252" w14:paraId="70D1625D"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281349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Offer to discuss alternatives or credit counseling</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1CA815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required regulatory disclosures</w:t>
            </w:r>
          </w:p>
        </w:tc>
      </w:tr>
      <w:tr w:rsidR="00051252" w:rsidRPr="00051252" w14:paraId="6DC3F3E0"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BB76F9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clear contact information for questions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741AE2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Promise future approval</w:t>
            </w:r>
          </w:p>
        </w:tc>
      </w:tr>
      <w:tr w:rsidR="00051252" w:rsidRPr="00051252" w14:paraId="209A3867"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16FB81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Express genuine willingness to work with them in the future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5F4EFA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opinions or subjective assessments</w:t>
            </w:r>
          </w:p>
        </w:tc>
      </w:tr>
    </w:tbl>
    <w:p w14:paraId="57728861" w14:textId="44AB4824" w:rsidR="0078494A" w:rsidRDefault="0078494A" w:rsidP="009913EF">
      <w:pPr>
        <w:rPr>
          <w:rFonts w:ascii="Calibri" w:hAnsi="Calibri" w:cs="Calibri"/>
          <w:color w:val="000000" w:themeColor="text1"/>
        </w:rPr>
      </w:pPr>
    </w:p>
    <w:tbl>
      <w:tblPr>
        <w:tblpPr w:leftFromText="180" w:rightFromText="180" w:vertAnchor="text" w:horzAnchor="margin" w:tblpY="-67"/>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29A27331"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46347D4B"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66B78627"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an adverse action notice for a personal loan denial for [Customer Name]. Denial reasons: insufficient credit history, debt-to-income ratio exceeds guidelines. Credit report pulled from Equifax. Include all ECOA and FCRA required language, dispute rights, and offer to discuss alternative options. Tone should be respectful and empathetic.</w:t>
            </w:r>
          </w:p>
        </w:tc>
      </w:tr>
    </w:tbl>
    <w:p w14:paraId="79FB66D7" w14:textId="77777777" w:rsidR="0078494A" w:rsidRDefault="0078494A" w:rsidP="009913EF">
      <w:pPr>
        <w:rPr>
          <w:rFonts w:ascii="Calibri" w:hAnsi="Calibri" w:cs="Calibri"/>
          <w:color w:val="000000" w:themeColor="text1"/>
        </w:rPr>
      </w:pPr>
      <w:r>
        <w:rPr>
          <w:rFonts w:ascii="Calibri" w:hAnsi="Calibri" w:cs="Calibri"/>
          <w:color w:val="000000" w:themeColor="text1"/>
        </w:rPr>
        <w:br w:type="page"/>
      </w:r>
    </w:p>
    <w:p w14:paraId="36CF8FFF" w14:textId="77777777" w:rsidR="006032A1" w:rsidRPr="00051252" w:rsidRDefault="003F549C" w:rsidP="009913EF">
      <w:pPr>
        <w:pStyle w:val="Heading1"/>
      </w:pPr>
      <w:bookmarkStart w:id="4" w:name="_Toc222209512"/>
      <w:r w:rsidRPr="00051252">
        <w:lastRenderedPageBreak/>
        <w:t>Past Due &amp; Collections Correspondence</w:t>
      </w:r>
      <w:bookmarkEnd w:id="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7924F22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3D3EE9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0474351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Notify customers of past-due payments, encourage resolution, and comply with FDCPA and internal collections policies at escalating stages.</w:t>
            </w:r>
          </w:p>
        </w:tc>
      </w:tr>
      <w:tr w:rsidR="00051252" w:rsidRPr="00051252" w14:paraId="1AACB9ED"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96B346A"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0C6836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Firm but compassionate. First notices should be gentle reminders; later stages become more direct. Always preserve dignity and offer resolution paths. Never threaten or shame.</w:t>
            </w:r>
          </w:p>
        </w:tc>
      </w:tr>
      <w:tr w:rsidR="00051252" w:rsidRPr="00051252" w14:paraId="7E1C4A12"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F657DF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39DF71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Customer name; account type and past-due amount; number of days </w:t>
            </w:r>
            <w:proofErr w:type="gramStart"/>
            <w:r w:rsidRPr="00051252">
              <w:rPr>
                <w:rFonts w:ascii="Calibri" w:hAnsi="Calibri" w:cs="Calibri"/>
                <w:color w:val="000000" w:themeColor="text1"/>
                <w:sz w:val="20"/>
                <w:szCs w:val="20"/>
              </w:rPr>
              <w:t>past</w:t>
            </w:r>
            <w:proofErr w:type="gramEnd"/>
            <w:r w:rsidRPr="00051252">
              <w:rPr>
                <w:rFonts w:ascii="Calibri" w:hAnsi="Calibri" w:cs="Calibri"/>
                <w:color w:val="000000" w:themeColor="text1"/>
                <w:sz w:val="20"/>
                <w:szCs w:val="20"/>
              </w:rPr>
              <w:t xml:space="preserve"> due; payment options and methods; hardship program availability; deadline for response; contact information for collections specialist; late payment consequences (factual, not threatening).</w:t>
            </w:r>
          </w:p>
        </w:tc>
      </w:tr>
      <w:tr w:rsidR="00051252" w:rsidRPr="00051252" w14:paraId="3C326F89"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E52A14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301193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Must comply with FDCPA even if bank is original creditor as a best practice. Include mini-Miranda language for applicable stages. Follow state-specific collections laws. Do not disclose debt information to third parties. Adhere to internal escalation timelines.</w:t>
            </w:r>
          </w:p>
        </w:tc>
      </w:tr>
    </w:tbl>
    <w:p w14:paraId="75EDB8F4" w14:textId="77777777" w:rsidR="006032A1" w:rsidRPr="00051252" w:rsidRDefault="006032A1" w:rsidP="009913EF">
      <w:pPr>
        <w:rPr>
          <w:rFonts w:ascii="Calibri" w:hAnsi="Calibri" w:cs="Calibri"/>
          <w:color w:val="000000" w:themeColor="text1"/>
        </w:rPr>
      </w:pPr>
    </w:p>
    <w:p w14:paraId="0D005176" w14:textId="77777777" w:rsidR="006032A1" w:rsidRPr="00051252" w:rsidRDefault="006032A1" w:rsidP="009913EF">
      <w:pPr>
        <w:rPr>
          <w:rFonts w:ascii="Calibri" w:hAnsi="Calibri" w:cs="Calibri"/>
          <w:color w:val="000000" w:themeColor="text1"/>
        </w:rPr>
      </w:pPr>
    </w:p>
    <w:p w14:paraId="6041E200"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5C350ACE"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5A87F470" w14:textId="0010CB1F"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2CB94FBF" w14:textId="158ED524"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1A9EAE60"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9EC786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escalating tone stages (friendly &gt; concerned &gt; firm)</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FD49D2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threatening or shaming language</w:t>
            </w:r>
          </w:p>
        </w:tc>
      </w:tr>
      <w:tr w:rsidR="00051252" w:rsidRPr="00051252" w14:paraId="16816F1E"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494696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Always offer a path to resolution</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C9D383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Disclose debt info to unauthorized parties</w:t>
            </w:r>
          </w:p>
        </w:tc>
      </w:tr>
      <w:tr w:rsidR="00051252" w:rsidRPr="00051252" w14:paraId="0CE2241A"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E90980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Mention hardship and workout options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C25455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required FDCPA disclosures at applicable stages</w:t>
            </w:r>
          </w:p>
        </w:tc>
      </w:tr>
      <w:tr w:rsidR="00051252" w:rsidRPr="00051252" w14:paraId="211D52CA"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A8FB8D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multiple payment channels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6B2B6D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Imply consequences that aren’t factual</w:t>
            </w:r>
          </w:p>
        </w:tc>
      </w:tr>
      <w:tr w:rsidR="00051252" w:rsidRPr="00051252" w14:paraId="2347E9C4"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CFDCC7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specific amounts and due dates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F99330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Contact at unreasonable hours or methods</w:t>
            </w:r>
          </w:p>
        </w:tc>
      </w:tr>
    </w:tbl>
    <w:p w14:paraId="18DFC398" w14:textId="444EDDEF" w:rsidR="0078494A" w:rsidRDefault="0078494A" w:rsidP="009913EF">
      <w:pPr>
        <w:rPr>
          <w:rFonts w:ascii="Calibri" w:hAnsi="Calibri" w:cs="Calibri"/>
          <w:color w:val="000000" w:themeColor="text1"/>
        </w:rPr>
      </w:pPr>
    </w:p>
    <w:tbl>
      <w:tblPr>
        <w:tblpPr w:leftFromText="180" w:rightFromText="180" w:vertAnchor="text" w:horzAnchor="margin" w:tblpY="-38"/>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52A250AC"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0D957E41"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3B193F68"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30-day past due reminder for a customer with a $450 auto loan payment overdue. Tone should be a friendly reminder, not a demand. Mention online payment options, offer to discuss hardship programs, and provide a direct phone number. Include language that preserves the relationship.</w:t>
            </w:r>
          </w:p>
        </w:tc>
      </w:tr>
    </w:tbl>
    <w:p w14:paraId="20A4FC48" w14:textId="77777777" w:rsidR="0078494A" w:rsidRDefault="0078494A" w:rsidP="009913EF">
      <w:pPr>
        <w:rPr>
          <w:rFonts w:ascii="Calibri" w:hAnsi="Calibri" w:cs="Calibri"/>
          <w:color w:val="000000" w:themeColor="text1"/>
        </w:rPr>
      </w:pPr>
      <w:r>
        <w:rPr>
          <w:rFonts w:ascii="Calibri" w:hAnsi="Calibri" w:cs="Calibri"/>
          <w:color w:val="000000" w:themeColor="text1"/>
        </w:rPr>
        <w:br w:type="page"/>
      </w:r>
    </w:p>
    <w:p w14:paraId="76A4FF1A" w14:textId="77777777" w:rsidR="006032A1" w:rsidRPr="00051252" w:rsidRDefault="003F549C" w:rsidP="009913EF">
      <w:pPr>
        <w:pStyle w:val="Heading1"/>
      </w:pPr>
      <w:bookmarkStart w:id="5" w:name="_Toc222209513"/>
      <w:r w:rsidRPr="00051252">
        <w:lastRenderedPageBreak/>
        <w:t>Rate Change &amp; Account Notifications</w:t>
      </w:r>
      <w:bookmarkEnd w:id="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2D273716"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32DB923D"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C86098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Inform customers of changes to interest rates, fees, account terms, or service modifications with appropriate advance notice.</w:t>
            </w:r>
          </w:p>
        </w:tc>
      </w:tr>
      <w:tr w:rsidR="00051252" w:rsidRPr="00051252" w14:paraId="6B89AA1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4791AB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501A7A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Transparent, straightforward, and respectful. Acknowledge the impact on the customer. Present changes clearly with effective dates and any actions the customer should take.</w:t>
            </w:r>
          </w:p>
        </w:tc>
      </w:tr>
      <w:tr w:rsidR="00051252" w:rsidRPr="00051252" w14:paraId="3AA6179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B4E9723"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108D37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Customer name; specific change being made; current vs. new terms; effective date; reason for change (if applicable and appropriate); customer options or alternatives; opt-out rights where applicable; contact information.</w:t>
            </w:r>
          </w:p>
        </w:tc>
      </w:tr>
      <w:tr w:rsidR="00051252" w:rsidRPr="00051252" w14:paraId="367935B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0E4942A"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C14D69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Comply with Reg DD (Truth in Savings) for deposit accounts. Follow Reg Z for credit products. Provide required advance notice periods (typically 30-45 days). Include opt-out provisions where required. Comply with CARD Act for credit card changes.</w:t>
            </w:r>
          </w:p>
        </w:tc>
      </w:tr>
    </w:tbl>
    <w:p w14:paraId="630DDB82" w14:textId="77777777" w:rsidR="006032A1" w:rsidRPr="00051252" w:rsidRDefault="006032A1" w:rsidP="009913EF">
      <w:pPr>
        <w:rPr>
          <w:rFonts w:ascii="Calibri" w:hAnsi="Calibri" w:cs="Calibri"/>
          <w:color w:val="000000" w:themeColor="text1"/>
        </w:rPr>
      </w:pPr>
    </w:p>
    <w:p w14:paraId="3C39B589" w14:textId="77777777" w:rsidR="006032A1" w:rsidRPr="00051252" w:rsidRDefault="006032A1" w:rsidP="009913EF">
      <w:pPr>
        <w:rPr>
          <w:rFonts w:ascii="Calibri" w:hAnsi="Calibri" w:cs="Calibri"/>
          <w:color w:val="000000" w:themeColor="text1"/>
        </w:rPr>
      </w:pPr>
    </w:p>
    <w:p w14:paraId="0CF62B9A"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445F60FB"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5AF37CD3" w14:textId="68CE7F46"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4A08883D" w14:textId="6E686EB3"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68C13C03"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A18485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specific before/after numbers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09BEC3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Bury the key change in dense paragraphs</w:t>
            </w:r>
          </w:p>
        </w:tc>
      </w:tr>
      <w:tr w:rsidR="00051252" w:rsidRPr="00051252" w14:paraId="2395B3E6"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82836F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Give adequate advance notice per regulations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9D1E04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misleading language that minimizes impact</w:t>
            </w:r>
          </w:p>
        </w:tc>
      </w:tr>
      <w:tr w:rsidR="00051252" w:rsidRPr="00051252" w14:paraId="34BC9ED3"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123498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Offer alternatives or options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1C9C5F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Fail to meet required notice periods</w:t>
            </w:r>
          </w:p>
        </w:tc>
      </w:tr>
      <w:tr w:rsidR="00051252" w:rsidRPr="00051252" w14:paraId="5DFFAF5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325D56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Explain the reason when appropriate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D79A01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opt-out rights where they exist</w:t>
            </w:r>
          </w:p>
        </w:tc>
      </w:tr>
      <w:tr w:rsidR="00051252" w:rsidRPr="00051252" w14:paraId="49001E41"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4F617F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the effective date unmistakably clear</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002082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Send without compliance review</w:t>
            </w:r>
          </w:p>
        </w:tc>
      </w:tr>
    </w:tbl>
    <w:tbl>
      <w:tblPr>
        <w:tblpPr w:leftFromText="180" w:rightFromText="180" w:vertAnchor="text" w:horzAnchor="margin" w:tblpY="145"/>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7485F71E"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1C08BEC4"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168B2E90"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rate change notification for savings account customers. The APY is changing from 0.50% to 0.35% effective [date, 30 days out]. Explain the change is due to market conditions, highlight that the rate remains competitive for the region, and mention CD alternatives for customers seeking rate certainty.</w:t>
            </w:r>
          </w:p>
        </w:tc>
      </w:tr>
    </w:tbl>
    <w:p w14:paraId="24958C24" w14:textId="1D649B3E" w:rsidR="00486778" w:rsidRDefault="00486778" w:rsidP="009913EF">
      <w:pPr>
        <w:rPr>
          <w:rFonts w:ascii="Calibri" w:hAnsi="Calibri" w:cs="Calibri"/>
          <w:color w:val="000000" w:themeColor="text1"/>
        </w:rPr>
      </w:pPr>
    </w:p>
    <w:p w14:paraId="37A45FF5" w14:textId="77777777" w:rsidR="00486778" w:rsidRDefault="00486778" w:rsidP="009913EF">
      <w:pPr>
        <w:rPr>
          <w:rFonts w:ascii="Calibri" w:hAnsi="Calibri" w:cs="Calibri"/>
          <w:color w:val="000000" w:themeColor="text1"/>
        </w:rPr>
      </w:pPr>
      <w:r>
        <w:rPr>
          <w:rFonts w:ascii="Calibri" w:hAnsi="Calibri" w:cs="Calibri"/>
          <w:color w:val="000000" w:themeColor="text1"/>
        </w:rPr>
        <w:br w:type="page"/>
      </w:r>
    </w:p>
    <w:p w14:paraId="3847C386" w14:textId="77777777" w:rsidR="006032A1" w:rsidRPr="00051252" w:rsidRDefault="003F549C" w:rsidP="009913EF">
      <w:pPr>
        <w:pStyle w:val="Heading1"/>
      </w:pPr>
      <w:bookmarkStart w:id="6" w:name="_Toc222209514"/>
      <w:r w:rsidRPr="00051252">
        <w:lastRenderedPageBreak/>
        <w:t>Product &amp; Service Cross-Sell Emails</w:t>
      </w:r>
      <w:bookmarkEnd w:id="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2B05830F"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3424B69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F7E4AB8"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20"/>
                <w:szCs w:val="20"/>
              </w:rPr>
              <w:t>Introduce</w:t>
            </w:r>
            <w:proofErr w:type="gramEnd"/>
            <w:r w:rsidRPr="00051252">
              <w:rPr>
                <w:rFonts w:ascii="Calibri" w:hAnsi="Calibri" w:cs="Calibri"/>
                <w:color w:val="000000" w:themeColor="text1"/>
                <w:sz w:val="20"/>
                <w:szCs w:val="20"/>
              </w:rPr>
              <w:t xml:space="preserve"> existing customers to additional products or services that match their profile and needs, driving wallet share while adding genuine value.</w:t>
            </w:r>
          </w:p>
        </w:tc>
      </w:tr>
      <w:tr w:rsidR="00051252" w:rsidRPr="00051252" w14:paraId="3EE94E89"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D81A70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1F0689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Helpful, consultative, and personalized. Position as solving a problem or meeting a need, not pushing products. Feel like a knowledgeable neighbor sharing a tip, not a salesperson making a pitch.</w:t>
            </w:r>
          </w:p>
        </w:tc>
      </w:tr>
      <w:tr w:rsidR="00051252" w:rsidRPr="00051252" w14:paraId="26A6191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776A3E8"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D7AAF5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Customer name; specific product recommendation; why it’s relevant to them; key benefits (2-3 max); simple call to action; contact information or appointment link; unsubscribe option for email.</w:t>
            </w:r>
          </w:p>
        </w:tc>
      </w:tr>
      <w:tr w:rsidR="00051252" w:rsidRPr="00051252" w14:paraId="4C13C40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D1E4C5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E62B70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Comply with CAN-SPAM requirements for email marketing. Include unsubscribe mechanism. Do not misrepresent terms. Follow fair lending practices — offers must be consistent across demographic groups. UDAP/UDAAP considerations for marketing claims.</w:t>
            </w:r>
          </w:p>
        </w:tc>
      </w:tr>
    </w:tbl>
    <w:p w14:paraId="2D544DDC" w14:textId="77777777" w:rsidR="006032A1" w:rsidRPr="00051252" w:rsidRDefault="006032A1" w:rsidP="009913EF">
      <w:pPr>
        <w:rPr>
          <w:rFonts w:ascii="Calibri" w:hAnsi="Calibri" w:cs="Calibri"/>
          <w:color w:val="000000" w:themeColor="text1"/>
        </w:rPr>
      </w:pPr>
    </w:p>
    <w:p w14:paraId="6F7D3D34" w14:textId="77777777" w:rsidR="006032A1" w:rsidRPr="00051252" w:rsidRDefault="006032A1" w:rsidP="009913EF">
      <w:pPr>
        <w:rPr>
          <w:rFonts w:ascii="Calibri" w:hAnsi="Calibri" w:cs="Calibri"/>
          <w:color w:val="000000" w:themeColor="text1"/>
        </w:rPr>
      </w:pPr>
    </w:p>
    <w:p w14:paraId="32A1E675"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3FD7250E"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0812E602" w14:textId="6D6B20AB"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580E837D" w14:textId="3BCBFCED"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6C150562"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BB57156"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19"/>
                <w:szCs w:val="19"/>
              </w:rPr>
              <w:t>Personalize</w:t>
            </w:r>
            <w:proofErr w:type="gramEnd"/>
            <w:r w:rsidRPr="00051252">
              <w:rPr>
                <w:rFonts w:ascii="Calibri" w:hAnsi="Calibri" w:cs="Calibri"/>
                <w:color w:val="000000" w:themeColor="text1"/>
                <w:sz w:val="19"/>
                <w:szCs w:val="19"/>
              </w:rPr>
              <w:t xml:space="preserve"> based on customer’s existing relationship</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AC9D59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Blast generic offers to full customer base</w:t>
            </w:r>
          </w:p>
        </w:tc>
      </w:tr>
      <w:tr w:rsidR="00051252" w:rsidRPr="00051252" w14:paraId="11452B9E"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D7C6B8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Focus on customer benefit, not bank revenue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935D55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exaggerated claims about benefits</w:t>
            </w:r>
          </w:p>
        </w:tc>
      </w:tr>
      <w:tr w:rsidR="00051252" w:rsidRPr="00051252" w14:paraId="0AB569D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5A6FFC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Limit to one clear call to action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2B0262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required disclosures or unsubscribe option</w:t>
            </w:r>
          </w:p>
        </w:tc>
      </w:tr>
      <w:tr w:rsidR="00051252" w:rsidRPr="00051252" w14:paraId="5EB9149F"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CAAEAC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required disclosures and opt-out</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3FD7D3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high-pressure urgency tactics</w:t>
            </w:r>
          </w:p>
        </w:tc>
      </w:tr>
      <w:tr w:rsidR="00051252" w:rsidRPr="00051252" w14:paraId="7558D4F2"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D5904C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Test across demographic segments for fair lending</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B19518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Cross-sell during complaint resolution interactions</w:t>
            </w:r>
          </w:p>
        </w:tc>
      </w:tr>
    </w:tbl>
    <w:tbl>
      <w:tblPr>
        <w:tblpPr w:leftFromText="180" w:rightFromText="180" w:vertAnchor="text" w:horzAnchor="margin" w:tblpY="145"/>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08CA0B89"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00DB945A"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02D6E2DE"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cross-</w:t>
            </w:r>
            <w:proofErr w:type="gramStart"/>
            <w:r w:rsidRPr="00051252">
              <w:rPr>
                <w:rFonts w:ascii="Calibri" w:eastAsia="Consolas" w:hAnsi="Calibri" w:cs="Calibri"/>
                <w:i/>
                <w:iCs/>
                <w:color w:val="000000" w:themeColor="text1"/>
                <w:sz w:val="19"/>
                <w:szCs w:val="19"/>
              </w:rPr>
              <w:t>sell</w:t>
            </w:r>
            <w:proofErr w:type="gramEnd"/>
            <w:r w:rsidRPr="00051252">
              <w:rPr>
                <w:rFonts w:ascii="Calibri" w:eastAsia="Consolas" w:hAnsi="Calibri" w:cs="Calibri"/>
                <w:i/>
                <w:iCs/>
                <w:color w:val="000000" w:themeColor="text1"/>
                <w:sz w:val="19"/>
                <w:szCs w:val="19"/>
              </w:rPr>
              <w:t xml:space="preserve"> email to checking account customers who have direct deposit but no savings account. Recommend the bank’s automatic savings program that rounds up debit purchases. Tone should feel like a helpful suggestion from their banker, not a marketing blast. Include CAN-SPAM compliant unsubscribe.</w:t>
            </w:r>
          </w:p>
        </w:tc>
      </w:tr>
    </w:tbl>
    <w:p w14:paraId="6BEE3741" w14:textId="6C135D56" w:rsidR="00486778" w:rsidRDefault="00486778" w:rsidP="009913EF">
      <w:pPr>
        <w:rPr>
          <w:rFonts w:ascii="Calibri" w:hAnsi="Calibri" w:cs="Calibri"/>
          <w:color w:val="000000" w:themeColor="text1"/>
        </w:rPr>
      </w:pPr>
    </w:p>
    <w:p w14:paraId="3DF08B54" w14:textId="77777777" w:rsidR="00486778" w:rsidRDefault="00486778" w:rsidP="009913EF">
      <w:pPr>
        <w:rPr>
          <w:rFonts w:ascii="Calibri" w:hAnsi="Calibri" w:cs="Calibri"/>
          <w:color w:val="000000" w:themeColor="text1"/>
        </w:rPr>
      </w:pPr>
      <w:r>
        <w:rPr>
          <w:rFonts w:ascii="Calibri" w:hAnsi="Calibri" w:cs="Calibri"/>
          <w:color w:val="000000" w:themeColor="text1"/>
        </w:rPr>
        <w:br w:type="page"/>
      </w:r>
    </w:p>
    <w:p w14:paraId="77AE00D8" w14:textId="77777777" w:rsidR="006032A1" w:rsidRPr="00051252" w:rsidRDefault="003F549C" w:rsidP="009913EF">
      <w:pPr>
        <w:pStyle w:val="Heading1"/>
      </w:pPr>
      <w:bookmarkStart w:id="7" w:name="_Toc222209515"/>
      <w:r w:rsidRPr="00051252">
        <w:lastRenderedPageBreak/>
        <w:t>Customer Complaint Resolution Letters</w:t>
      </w:r>
      <w:bookmarkEnd w:id="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5701B18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9634A3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123019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Acknowledge customer complaints, communicate investigation findings, and present resolution while retaining the relationship and meeting regulatory expectations.</w:t>
            </w:r>
          </w:p>
        </w:tc>
      </w:tr>
      <w:tr w:rsidR="00051252" w:rsidRPr="00051252" w14:paraId="44FD3F85"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703C16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61EC1C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Empathetic, accountable, and </w:t>
            </w:r>
            <w:proofErr w:type="gramStart"/>
            <w:r w:rsidRPr="00051252">
              <w:rPr>
                <w:rFonts w:ascii="Calibri" w:hAnsi="Calibri" w:cs="Calibri"/>
                <w:color w:val="000000" w:themeColor="text1"/>
                <w:sz w:val="20"/>
                <w:szCs w:val="20"/>
              </w:rPr>
              <w:t>solution-oriented</w:t>
            </w:r>
            <w:proofErr w:type="gramEnd"/>
            <w:r w:rsidRPr="00051252">
              <w:rPr>
                <w:rFonts w:ascii="Calibri" w:hAnsi="Calibri" w:cs="Calibri"/>
                <w:color w:val="000000" w:themeColor="text1"/>
                <w:sz w:val="20"/>
                <w:szCs w:val="20"/>
              </w:rPr>
              <w:t>. Validate the customer’s experience without being defensive. Be specific about what happened and what you’re doing about it. Show that you value their feedback.</w:t>
            </w:r>
          </w:p>
        </w:tc>
      </w:tr>
      <w:tr w:rsidR="00051252" w:rsidRPr="00051252" w14:paraId="6644B9A2"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27AA2B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5C01DD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Customer name; specific complaint reference; acknowledgment of the issue; investigation findings; resolution or remediation offered; timeline for resolution; escalation options if unsatisfied; direct contact for follow-up; sincere apology where warranted.</w:t>
            </w:r>
          </w:p>
        </w:tc>
      </w:tr>
      <w:tr w:rsidR="00051252" w:rsidRPr="00051252" w14:paraId="06AA40C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5926C7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0D5811A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Respond within regulatory timeframes (Reg E: 10 business days for EFT errors, with provisional credit). Document all </w:t>
            </w:r>
            <w:proofErr w:type="gramStart"/>
            <w:r w:rsidRPr="00051252">
              <w:rPr>
                <w:rFonts w:ascii="Calibri" w:hAnsi="Calibri" w:cs="Calibri"/>
                <w:color w:val="000000" w:themeColor="text1"/>
                <w:sz w:val="20"/>
                <w:szCs w:val="20"/>
              </w:rPr>
              <w:t>complaint</w:t>
            </w:r>
            <w:proofErr w:type="gramEnd"/>
            <w:r w:rsidRPr="00051252">
              <w:rPr>
                <w:rFonts w:ascii="Calibri" w:hAnsi="Calibri" w:cs="Calibri"/>
                <w:color w:val="000000" w:themeColor="text1"/>
                <w:sz w:val="20"/>
                <w:szCs w:val="20"/>
              </w:rPr>
              <w:t xml:space="preserve"> handling for exam readiness. Follow UDAAP guidance — do not engage in unfair or deceptive practices in resolution. Track trends for CFPB and examiner inquiries.</w:t>
            </w:r>
          </w:p>
        </w:tc>
      </w:tr>
    </w:tbl>
    <w:p w14:paraId="4C832D70" w14:textId="77777777" w:rsidR="006032A1" w:rsidRPr="00051252" w:rsidRDefault="006032A1" w:rsidP="009913EF">
      <w:pPr>
        <w:rPr>
          <w:rFonts w:ascii="Calibri" w:hAnsi="Calibri" w:cs="Calibri"/>
          <w:color w:val="000000" w:themeColor="text1"/>
        </w:rPr>
      </w:pPr>
    </w:p>
    <w:p w14:paraId="0C4CB25D" w14:textId="77777777" w:rsidR="006032A1" w:rsidRPr="00051252" w:rsidRDefault="006032A1" w:rsidP="009913EF">
      <w:pPr>
        <w:rPr>
          <w:rFonts w:ascii="Calibri" w:hAnsi="Calibri" w:cs="Calibri"/>
          <w:color w:val="000000" w:themeColor="text1"/>
        </w:rPr>
      </w:pPr>
    </w:p>
    <w:p w14:paraId="75636396"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5E887255"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00F06E7A" w14:textId="12363225"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22CAF0E6" w14:textId="3669F487"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3E7C9FF8"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39716D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Acknowledge the complaint specifically</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654CE5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defensive or blame-shifting language</w:t>
            </w:r>
          </w:p>
        </w:tc>
      </w:tr>
      <w:tr w:rsidR="00051252" w:rsidRPr="00051252" w14:paraId="4F1965E3"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E11C80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Explain findings transparently</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B34AE8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Offer vague or non-committal resolutions</w:t>
            </w:r>
          </w:p>
        </w:tc>
      </w:tr>
      <w:tr w:rsidR="00051252" w:rsidRPr="00051252" w14:paraId="55588FD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C66895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Offer clear resolution with specifics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4AE7F5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Ignore regulatory response timelines</w:t>
            </w:r>
          </w:p>
        </w:tc>
      </w:tr>
      <w:tr w:rsidR="00051252" w:rsidRPr="00051252" w14:paraId="0E9AFFB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193E7E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escalation paths if still unsatisfied</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23461D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the customer repeat their story</w:t>
            </w:r>
          </w:p>
        </w:tc>
      </w:tr>
      <w:tr w:rsidR="00051252" w:rsidRPr="00051252" w14:paraId="7A8AE4A6"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B505A8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Follow up to ensure satisfaction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4ACF6F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Dismiss the complaint as policy</w:t>
            </w:r>
          </w:p>
        </w:tc>
      </w:tr>
    </w:tbl>
    <w:tbl>
      <w:tblPr>
        <w:tblpPr w:leftFromText="180" w:rightFromText="180" w:vertAnchor="text" w:horzAnchor="margin" w:tblpY="159"/>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2DEED5D0"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348952CA"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1339DD63"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complaint resolution letter for a customer who was charged 3 overdraft fees in one day totaling $105. Investigation shows fees were correctly assessed per account agreement, but as a goodwill gesture, reverse 2 of the 3 fees ($70). Explain how overdraft protection enrollment could prevent future occurrences. Tone should be empathetic and focused on retaining the relationship.</w:t>
            </w:r>
          </w:p>
        </w:tc>
      </w:tr>
    </w:tbl>
    <w:p w14:paraId="3D72B7BB" w14:textId="77777777" w:rsidR="006032A1" w:rsidRPr="00051252" w:rsidRDefault="006032A1" w:rsidP="009913EF">
      <w:pPr>
        <w:rPr>
          <w:rFonts w:ascii="Calibri" w:hAnsi="Calibri" w:cs="Calibri"/>
          <w:color w:val="000000" w:themeColor="text1"/>
        </w:rPr>
      </w:pPr>
    </w:p>
    <w:p w14:paraId="100B6CE1" w14:textId="77777777" w:rsidR="00486778" w:rsidRDefault="00486778" w:rsidP="009913EF">
      <w:pPr>
        <w:rPr>
          <w:rFonts w:ascii="Calibri" w:hAnsi="Calibri" w:cs="Calibri"/>
          <w:b/>
          <w:bCs/>
          <w:color w:val="C00000"/>
          <w:sz w:val="24"/>
          <w:szCs w:val="24"/>
        </w:rPr>
      </w:pPr>
      <w:r>
        <w:br w:type="page"/>
      </w:r>
    </w:p>
    <w:p w14:paraId="00FFC9FD" w14:textId="49139A18" w:rsidR="006032A1" w:rsidRPr="00051252" w:rsidRDefault="003F549C" w:rsidP="009913EF">
      <w:pPr>
        <w:pStyle w:val="Heading1"/>
      </w:pPr>
      <w:bookmarkStart w:id="8" w:name="_Toc222209516"/>
      <w:r w:rsidRPr="00051252">
        <w:lastRenderedPageBreak/>
        <w:t>Wire/ACH Fraud Alert Communications</w:t>
      </w:r>
      <w:bookmarkEnd w:id="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42745464"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FF49EC9"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67C87D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Alert customers to suspected fraudulent transactions, guide immediate protective actions, and document the bank’s response for regulatory and legal purposes.</w:t>
            </w:r>
          </w:p>
        </w:tc>
      </w:tr>
      <w:tr w:rsidR="00051252" w:rsidRPr="00051252" w14:paraId="151CB260"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3D661E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27607F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Urgent but calm. Convey the seriousness without causing panic. Be directive about next steps. Instill confidence that the bank is protecting their interests.</w:t>
            </w:r>
          </w:p>
        </w:tc>
      </w:tr>
      <w:tr w:rsidR="00051252" w:rsidRPr="00051252" w14:paraId="2A63EE2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8F3DB5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0E31DFD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Customer name; description of suspected transaction (without full account details); immediate actions needed from customer; bank actions already taken; fraud department direct contact; hours of availability; reference/case number; reminder to not share account info with callers.</w:t>
            </w:r>
          </w:p>
        </w:tc>
      </w:tr>
      <w:tr w:rsidR="00051252" w:rsidRPr="00051252" w14:paraId="0F4136A6"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6B5165A"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C276B0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Follow BSA/AML reporting requirements for SAR filing (do not disclose SAR existence to customer). Comply with Reg E timelines for unauthorized EFT claims. Document all customer communications. Preserve evidence chain for law enforcement. Follow FinCEN guidance on cyber-related fraud.</w:t>
            </w:r>
          </w:p>
        </w:tc>
      </w:tr>
    </w:tbl>
    <w:p w14:paraId="53DA28CA" w14:textId="77777777" w:rsidR="006032A1" w:rsidRPr="00051252" w:rsidRDefault="006032A1" w:rsidP="009913EF">
      <w:pPr>
        <w:rPr>
          <w:rFonts w:ascii="Calibri" w:hAnsi="Calibri" w:cs="Calibri"/>
          <w:color w:val="000000" w:themeColor="text1"/>
        </w:rPr>
      </w:pPr>
    </w:p>
    <w:p w14:paraId="211C5693" w14:textId="77777777" w:rsidR="006032A1" w:rsidRPr="00051252" w:rsidRDefault="006032A1" w:rsidP="009913EF">
      <w:pPr>
        <w:rPr>
          <w:rFonts w:ascii="Calibri" w:hAnsi="Calibri" w:cs="Calibri"/>
          <w:color w:val="000000" w:themeColor="text1"/>
        </w:rPr>
      </w:pPr>
    </w:p>
    <w:p w14:paraId="5731F847"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27A75E60"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330EA272" w14:textId="4236FFA8"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537AC368" w14:textId="5E1DA0A9"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0A2A24F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ADC4A7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Act quickly with clear, specific information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020820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Disclose SAR filing or investigation details</w:t>
            </w:r>
          </w:p>
        </w:tc>
      </w:tr>
      <w:tr w:rsidR="00051252" w:rsidRPr="00051252" w14:paraId="41D70EB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DD99F7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a direct fraud department phone number</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0C7F38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full account numbers in written communications</w:t>
            </w:r>
          </w:p>
        </w:tc>
      </w:tr>
      <w:tr w:rsidR="00051252" w:rsidRPr="00051252" w14:paraId="07883EF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25D2A3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Give specific instructions for immediate action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B29A41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language that causes panic</w:t>
            </w:r>
          </w:p>
        </w:tc>
      </w:tr>
      <w:tr w:rsidR="00051252" w:rsidRPr="00051252" w14:paraId="40FAE21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0E3C63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Reassure the customer the bank is actively protecting them</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D38394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Delay communication to gather more information</w:t>
            </w:r>
          </w:p>
        </w:tc>
      </w:tr>
      <w:tr w:rsidR="00051252" w:rsidRPr="00051252" w14:paraId="124A83B9"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3C153A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Document every communication in the case file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AB2A40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Ask the customer to investigate on their own</w:t>
            </w:r>
          </w:p>
        </w:tc>
      </w:tr>
    </w:tbl>
    <w:tbl>
      <w:tblPr>
        <w:tblpPr w:leftFromText="180" w:rightFromText="180" w:vertAnchor="text" w:horzAnchor="margin" w:tblpY="11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1F7E7DCC"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29813B0C"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5DC31160"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 xml:space="preserve">Write a fraud alert notification for a customer whose account shows a suspicious $3,200 wire transfer to an unrecognized international recipient. The wire has been held pending verification. Ask the customer to verify the transaction, provide fraud department phone </w:t>
            </w:r>
            <w:proofErr w:type="gramStart"/>
            <w:r w:rsidRPr="00051252">
              <w:rPr>
                <w:rFonts w:ascii="Calibri" w:eastAsia="Consolas" w:hAnsi="Calibri" w:cs="Calibri"/>
                <w:i/>
                <w:iCs/>
                <w:color w:val="000000" w:themeColor="text1"/>
                <w:sz w:val="19"/>
                <w:szCs w:val="19"/>
              </w:rPr>
              <w:t>number</w:t>
            </w:r>
            <w:proofErr w:type="gramEnd"/>
            <w:r w:rsidRPr="00051252">
              <w:rPr>
                <w:rFonts w:ascii="Calibri" w:eastAsia="Consolas" w:hAnsi="Calibri" w:cs="Calibri"/>
                <w:i/>
                <w:iCs/>
                <w:color w:val="000000" w:themeColor="text1"/>
                <w:sz w:val="19"/>
                <w:szCs w:val="19"/>
              </w:rPr>
              <w:t>, and outline next steps. Do not mention SAR filing. Tone should be urgent but reassuring.</w:t>
            </w:r>
          </w:p>
        </w:tc>
      </w:tr>
    </w:tbl>
    <w:p w14:paraId="4FABFD03" w14:textId="77777777" w:rsidR="006032A1" w:rsidRPr="00051252" w:rsidRDefault="006032A1" w:rsidP="009913EF">
      <w:pPr>
        <w:rPr>
          <w:rFonts w:ascii="Calibri" w:hAnsi="Calibri" w:cs="Calibri"/>
          <w:color w:val="000000" w:themeColor="text1"/>
        </w:rPr>
      </w:pPr>
    </w:p>
    <w:p w14:paraId="7A3CFE03" w14:textId="77777777" w:rsidR="00486778" w:rsidRDefault="00486778" w:rsidP="009913EF">
      <w:pPr>
        <w:rPr>
          <w:rFonts w:ascii="Calibri" w:hAnsi="Calibri" w:cs="Calibri"/>
          <w:b/>
          <w:bCs/>
          <w:color w:val="C00000"/>
          <w:sz w:val="24"/>
          <w:szCs w:val="24"/>
        </w:rPr>
      </w:pPr>
      <w:r>
        <w:br w:type="page"/>
      </w:r>
    </w:p>
    <w:p w14:paraId="36B1D402" w14:textId="215CA545" w:rsidR="006032A1" w:rsidRPr="001E621F" w:rsidRDefault="003F549C" w:rsidP="009913EF">
      <w:pPr>
        <w:pStyle w:val="Heading1"/>
      </w:pPr>
      <w:bookmarkStart w:id="9" w:name="_Toc222209517"/>
      <w:r w:rsidRPr="001E621F">
        <w:lastRenderedPageBreak/>
        <w:t>BSA/AML Suspicious Activity Report Narratives</w:t>
      </w:r>
      <w:bookmarkEnd w:id="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36B49F5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F1F23F8"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8B3D9B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Create clear, comprehensive SAR narratives that effectively communicate suspicious activity to FinCEN and support law enforcement investigations.</w:t>
            </w:r>
          </w:p>
        </w:tc>
      </w:tr>
      <w:tr w:rsidR="00051252" w:rsidRPr="00051252" w14:paraId="2CDFD97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A51C69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E3C5D9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Factual, objective, and precise. Use a journalistic approach: who, what, when, where, why, and how. No opinions, speculation, or conclusions about criminal intent. Let the facts speak.</w:t>
            </w:r>
          </w:p>
        </w:tc>
      </w:tr>
      <w:tr w:rsidR="00051252" w:rsidRPr="00051252" w14:paraId="0808E369"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2A6F2D1"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9BDF91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Subject identification (name, SSN, DOB, address, account numbers); description of suspicious activity; dates and amounts; how activity was identified; summary of customer’s explanation (if any); prior SAR filings on subject; law enforcement contact (if applicable); supporting documentation reference.</w:t>
            </w:r>
          </w:p>
        </w:tc>
      </w:tr>
      <w:tr w:rsidR="00051252" w:rsidRPr="00051252" w14:paraId="7D6A2346"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808EBB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947AAA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CRITICAL COMPLIANCE AREA. Must file within 30 days of detection (60 if no suspect identified). Follow FinCEN SAR filing instructions exactly. </w:t>
            </w:r>
            <w:proofErr w:type="gramStart"/>
            <w:r w:rsidRPr="00051252">
              <w:rPr>
                <w:rFonts w:ascii="Calibri" w:hAnsi="Calibri" w:cs="Calibri"/>
                <w:color w:val="000000" w:themeColor="text1"/>
                <w:sz w:val="20"/>
                <w:szCs w:val="20"/>
              </w:rPr>
              <w:t>Narrative</w:t>
            </w:r>
            <w:proofErr w:type="gramEnd"/>
            <w:r w:rsidRPr="00051252">
              <w:rPr>
                <w:rFonts w:ascii="Calibri" w:hAnsi="Calibri" w:cs="Calibri"/>
                <w:color w:val="000000" w:themeColor="text1"/>
                <w:sz w:val="20"/>
                <w:szCs w:val="20"/>
              </w:rPr>
              <w:t xml:space="preserve"> must support the checkbox selections. Never notify the subject of the SAR. Maintain SAR and supporting docs for 5 years. Follow institution’s BSA/AML policy.</w:t>
            </w:r>
          </w:p>
        </w:tc>
      </w:tr>
    </w:tbl>
    <w:p w14:paraId="6BD8427E" w14:textId="77777777" w:rsidR="006032A1" w:rsidRPr="00051252" w:rsidRDefault="006032A1" w:rsidP="009913EF">
      <w:pPr>
        <w:rPr>
          <w:rFonts w:ascii="Calibri" w:hAnsi="Calibri" w:cs="Calibri"/>
          <w:color w:val="000000" w:themeColor="text1"/>
        </w:rPr>
      </w:pPr>
    </w:p>
    <w:p w14:paraId="76C6821C" w14:textId="77777777" w:rsidR="006032A1" w:rsidRPr="00051252" w:rsidRDefault="006032A1" w:rsidP="009913EF">
      <w:pPr>
        <w:rPr>
          <w:rFonts w:ascii="Calibri" w:hAnsi="Calibri" w:cs="Calibri"/>
          <w:color w:val="000000" w:themeColor="text1"/>
        </w:rPr>
      </w:pPr>
    </w:p>
    <w:p w14:paraId="387A50E0"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2DF55F10"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477D8002" w14:textId="760E7946"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34A4B660" w14:textId="477AA32B"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02F624F0"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94CA8A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Follow the who/what/when/where/why/how framework</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CEEDF3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opinions about criminal intent</w:t>
            </w:r>
          </w:p>
        </w:tc>
      </w:tr>
      <w:tr w:rsidR="00051252" w:rsidRPr="00051252" w14:paraId="5A44341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7F3CA8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specific dates, amounts, and account numbers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EAC7D0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vague language like “suspicious” without supporting facts</w:t>
            </w:r>
          </w:p>
        </w:tc>
      </w:tr>
      <w:tr w:rsidR="00051252" w:rsidRPr="00051252" w14:paraId="0F35C9D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58EBD42"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19"/>
                <w:szCs w:val="19"/>
              </w:rPr>
              <w:t>Reference</w:t>
            </w:r>
            <w:proofErr w:type="gramEnd"/>
            <w:r w:rsidRPr="00051252">
              <w:rPr>
                <w:rFonts w:ascii="Calibri" w:hAnsi="Calibri" w:cs="Calibri"/>
                <w:color w:val="000000" w:themeColor="text1"/>
                <w:sz w:val="19"/>
                <w:szCs w:val="19"/>
              </w:rPr>
              <w:t xml:space="preserve"> how the activity was detected</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FFF463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key identifying information</w:t>
            </w:r>
          </w:p>
        </w:tc>
      </w:tr>
      <w:tr w:rsidR="00051252" w:rsidRPr="00051252" w14:paraId="498760D0"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D8DA58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Note customer’s explanation or lack thereof</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E143D7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File without required supervisory review</w:t>
            </w:r>
          </w:p>
        </w:tc>
      </w:tr>
      <w:tr w:rsidR="00051252" w:rsidRPr="00051252" w14:paraId="107B4601"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999F03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Keep the narrative factual and objective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1A05F7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Notify the customer of the SAR filing</w:t>
            </w:r>
          </w:p>
        </w:tc>
      </w:tr>
    </w:tbl>
    <w:tbl>
      <w:tblPr>
        <w:tblpPr w:leftFromText="180" w:rightFromText="180" w:vertAnchor="text" w:horzAnchor="margin" w:tblpY="163"/>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27CECCBA"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1F2D79F5"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2EAC6C98"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 xml:space="preserve">Write a SAR narrative for the following: Customer John Smith (DOB: 01/15/1980) made 15 cash deposits between $8,000-$9,500 over 30 days across 3 branches, totaling $128,000. Deposits were made in a pattern consistent with structuring to avoid CTR filing thresholds. </w:t>
            </w:r>
            <w:proofErr w:type="gramStart"/>
            <w:r w:rsidRPr="00051252">
              <w:rPr>
                <w:rFonts w:ascii="Calibri" w:eastAsia="Consolas" w:hAnsi="Calibri" w:cs="Calibri"/>
                <w:i/>
                <w:iCs/>
                <w:color w:val="000000" w:themeColor="text1"/>
                <w:sz w:val="19"/>
                <w:szCs w:val="19"/>
              </w:rPr>
              <w:t>Customer has</w:t>
            </w:r>
            <w:proofErr w:type="gramEnd"/>
            <w:r w:rsidRPr="00051252">
              <w:rPr>
                <w:rFonts w:ascii="Calibri" w:eastAsia="Consolas" w:hAnsi="Calibri" w:cs="Calibri"/>
                <w:i/>
                <w:iCs/>
                <w:color w:val="000000" w:themeColor="text1"/>
                <w:sz w:val="19"/>
                <w:szCs w:val="19"/>
              </w:rPr>
              <w:t xml:space="preserve"> a stated income of $45,000/year as a retail clerk. No prior SARs. Include all required narrative elements per FinCEN guidance.</w:t>
            </w:r>
          </w:p>
        </w:tc>
      </w:tr>
    </w:tbl>
    <w:p w14:paraId="64394BCF" w14:textId="77777777" w:rsidR="006032A1" w:rsidRPr="00051252" w:rsidRDefault="006032A1" w:rsidP="009913EF">
      <w:pPr>
        <w:rPr>
          <w:rFonts w:ascii="Calibri" w:hAnsi="Calibri" w:cs="Calibri"/>
          <w:color w:val="000000" w:themeColor="text1"/>
        </w:rPr>
      </w:pPr>
    </w:p>
    <w:p w14:paraId="7034527A" w14:textId="77777777" w:rsidR="00486778" w:rsidRDefault="00486778" w:rsidP="009913EF">
      <w:pPr>
        <w:rPr>
          <w:rFonts w:ascii="Calibri" w:hAnsi="Calibri" w:cs="Calibri"/>
          <w:b/>
          <w:bCs/>
          <w:color w:val="C00000"/>
          <w:sz w:val="24"/>
          <w:szCs w:val="24"/>
        </w:rPr>
      </w:pPr>
      <w:r>
        <w:br w:type="page"/>
      </w:r>
    </w:p>
    <w:p w14:paraId="71D49BE3" w14:textId="10E9B0E7" w:rsidR="006032A1" w:rsidRPr="00051252" w:rsidRDefault="003F549C" w:rsidP="009913EF">
      <w:pPr>
        <w:pStyle w:val="Heading1"/>
      </w:pPr>
      <w:bookmarkStart w:id="10" w:name="_Toc222209518"/>
      <w:r w:rsidRPr="00051252">
        <w:lastRenderedPageBreak/>
        <w:t>Board Meeting Summaries &amp; Reports</w:t>
      </w:r>
      <w:bookmarkEnd w:id="1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1F7614F6"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46D358D"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CAC0CD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Provide the Board of Directors with clear, concise summaries of operational performance, strategic initiatives, risk posture, and items requiring board action.</w:t>
            </w:r>
          </w:p>
        </w:tc>
      </w:tr>
      <w:tr w:rsidR="00051252" w:rsidRPr="00051252" w14:paraId="5F49C54B"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00EEE5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7D9882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Executive-level, data-driven, and strategic. Board members are </w:t>
            </w:r>
            <w:proofErr w:type="gramStart"/>
            <w:r w:rsidRPr="00051252">
              <w:rPr>
                <w:rFonts w:ascii="Calibri" w:hAnsi="Calibri" w:cs="Calibri"/>
                <w:color w:val="000000" w:themeColor="text1"/>
                <w:sz w:val="20"/>
                <w:szCs w:val="20"/>
              </w:rPr>
              <w:t>busy — lead</w:t>
            </w:r>
            <w:proofErr w:type="gramEnd"/>
            <w:r w:rsidRPr="00051252">
              <w:rPr>
                <w:rFonts w:ascii="Calibri" w:hAnsi="Calibri" w:cs="Calibri"/>
                <w:color w:val="000000" w:themeColor="text1"/>
                <w:sz w:val="20"/>
                <w:szCs w:val="20"/>
              </w:rPr>
              <w:t xml:space="preserve"> with conclusions and key metrics, then provide supporting detail. Be candid about challenges and risks.</w:t>
            </w:r>
          </w:p>
        </w:tc>
      </w:tr>
      <w:tr w:rsidR="00051252" w:rsidRPr="00051252" w14:paraId="4A067D2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C22A8C3"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8B1048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Executive summary with key highlights; financial performance metrics (ROA, ROE, NIM, efficiency ratio); loan and deposit growth; asset quality indicators; compliance and audit status; strategic initiative updates; action items requiring board vote; risk dashboard summary.</w:t>
            </w:r>
          </w:p>
        </w:tc>
      </w:tr>
      <w:tr w:rsidR="00051252" w:rsidRPr="00051252" w14:paraId="0D6E1389"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5FC85DA"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3A7F4F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Board packages are highly sensitive and subject to regulatory review. Ensure accuracy of all financial data. Minutes and reports may be examined during safety and soundness exams. Follow internal governance policies for board reporting frequency and content.</w:t>
            </w:r>
          </w:p>
        </w:tc>
      </w:tr>
    </w:tbl>
    <w:p w14:paraId="52F013DC" w14:textId="77777777" w:rsidR="006032A1" w:rsidRPr="00051252" w:rsidRDefault="006032A1" w:rsidP="009913EF">
      <w:pPr>
        <w:rPr>
          <w:rFonts w:ascii="Calibri" w:hAnsi="Calibri" w:cs="Calibri"/>
          <w:color w:val="000000" w:themeColor="text1"/>
        </w:rPr>
      </w:pPr>
    </w:p>
    <w:p w14:paraId="4AE61649" w14:textId="77777777" w:rsidR="006032A1" w:rsidRPr="00051252" w:rsidRDefault="006032A1" w:rsidP="009913EF">
      <w:pPr>
        <w:rPr>
          <w:rFonts w:ascii="Calibri" w:hAnsi="Calibri" w:cs="Calibri"/>
          <w:color w:val="000000" w:themeColor="text1"/>
        </w:rPr>
      </w:pPr>
    </w:p>
    <w:p w14:paraId="77F1BF4A"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7732FCBB"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104472BF" w14:textId="16F6224A"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2CF2BC6A" w14:textId="127F7617"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16DB3DD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A16840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Lead with key metrics and conclusions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CD4B2C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Bury critical information in lengthy narrative</w:t>
            </w:r>
          </w:p>
        </w:tc>
      </w:tr>
      <w:tr w:rsidR="00051252" w:rsidRPr="00051252" w14:paraId="0D30F8A5"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3E0D1E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visual indicators (green/yellow/red) for status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2E242F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Present data without context or benchmarks</w:t>
            </w:r>
          </w:p>
        </w:tc>
      </w:tr>
      <w:tr w:rsidR="00051252" w:rsidRPr="00051252" w14:paraId="31ED2FBA"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ABF9AC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Clearly identify items requiring board action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3A166B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emerging risks or challenges</w:t>
            </w:r>
          </w:p>
        </w:tc>
      </w:tr>
      <w:tr w:rsidR="00051252" w:rsidRPr="00051252" w14:paraId="0A378967"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34CB87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trend data, not just point-in-time snapshots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14E0C3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technical jargon without executive translation</w:t>
            </w:r>
          </w:p>
        </w:tc>
      </w:tr>
      <w:tr w:rsidR="00051252" w:rsidRPr="00051252" w14:paraId="5FAEC919"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F9EEBB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candid risk assessment</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EC5A74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Submit without verifying all financial data</w:t>
            </w:r>
          </w:p>
        </w:tc>
      </w:tr>
    </w:tbl>
    <w:tbl>
      <w:tblPr>
        <w:tblpPr w:leftFromText="180" w:rightFromText="180" w:vertAnchor="text" w:horzAnchor="margin" w:tblpY="174"/>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5AD490C2"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15500DF5"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3B34274D"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 xml:space="preserve">Write a monthly board </w:t>
            </w:r>
            <w:proofErr w:type="gramStart"/>
            <w:r w:rsidRPr="00051252">
              <w:rPr>
                <w:rFonts w:ascii="Calibri" w:eastAsia="Consolas" w:hAnsi="Calibri" w:cs="Calibri"/>
                <w:i/>
                <w:iCs/>
                <w:color w:val="000000" w:themeColor="text1"/>
                <w:sz w:val="19"/>
                <w:szCs w:val="19"/>
              </w:rPr>
              <w:t>report</w:t>
            </w:r>
            <w:proofErr w:type="gramEnd"/>
            <w:r w:rsidRPr="00051252">
              <w:rPr>
                <w:rFonts w:ascii="Calibri" w:eastAsia="Consolas" w:hAnsi="Calibri" w:cs="Calibri"/>
                <w:i/>
                <w:iCs/>
                <w:color w:val="000000" w:themeColor="text1"/>
                <w:sz w:val="19"/>
                <w:szCs w:val="19"/>
              </w:rPr>
              <w:t xml:space="preserve"> technology </w:t>
            </w:r>
            <w:proofErr w:type="gramStart"/>
            <w:r w:rsidRPr="00051252">
              <w:rPr>
                <w:rFonts w:ascii="Calibri" w:eastAsia="Consolas" w:hAnsi="Calibri" w:cs="Calibri"/>
                <w:i/>
                <w:iCs/>
                <w:color w:val="000000" w:themeColor="text1"/>
                <w:sz w:val="19"/>
                <w:szCs w:val="19"/>
              </w:rPr>
              <w:t>section for</w:t>
            </w:r>
            <w:proofErr w:type="gramEnd"/>
            <w:r w:rsidRPr="00051252">
              <w:rPr>
                <w:rFonts w:ascii="Calibri" w:eastAsia="Consolas" w:hAnsi="Calibri" w:cs="Calibri"/>
                <w:i/>
                <w:iCs/>
                <w:color w:val="000000" w:themeColor="text1"/>
                <w:sz w:val="19"/>
                <w:szCs w:val="19"/>
              </w:rPr>
              <w:t xml:space="preserve"> [Bank Name]. Cover: Core system uptime of 99.7%, completion of cybersecurity tabletop exercise, AI working group progress on fraud detection pilot, vendor management policy updates, and upcoming FFIEC cybersecurity assessment prep. Format for a board that appreciates concise, action-oriented reporting.</w:t>
            </w:r>
          </w:p>
        </w:tc>
      </w:tr>
    </w:tbl>
    <w:p w14:paraId="4F65A56A" w14:textId="77777777" w:rsidR="006032A1" w:rsidRPr="00051252" w:rsidRDefault="006032A1" w:rsidP="009913EF">
      <w:pPr>
        <w:rPr>
          <w:rFonts w:ascii="Calibri" w:hAnsi="Calibri" w:cs="Calibri"/>
          <w:color w:val="000000" w:themeColor="text1"/>
        </w:rPr>
      </w:pPr>
    </w:p>
    <w:p w14:paraId="7D34C564" w14:textId="77777777" w:rsidR="00486778" w:rsidRDefault="00486778" w:rsidP="009913EF">
      <w:pPr>
        <w:rPr>
          <w:rFonts w:ascii="Calibri" w:hAnsi="Calibri" w:cs="Calibri"/>
          <w:b/>
          <w:bCs/>
          <w:color w:val="C00000"/>
          <w:sz w:val="24"/>
          <w:szCs w:val="24"/>
        </w:rPr>
      </w:pPr>
      <w:r>
        <w:br w:type="page"/>
      </w:r>
    </w:p>
    <w:p w14:paraId="34CA243D" w14:textId="224CF3E1" w:rsidR="006032A1" w:rsidRPr="00051252" w:rsidRDefault="003F549C" w:rsidP="009913EF">
      <w:pPr>
        <w:pStyle w:val="Heading1"/>
      </w:pPr>
      <w:bookmarkStart w:id="11" w:name="_Toc222209519"/>
      <w:r w:rsidRPr="00051252">
        <w:lastRenderedPageBreak/>
        <w:t>Regulatory Exam Preparation Documents</w:t>
      </w:r>
      <w:bookmarkEnd w:id="1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08C29B2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9DD057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F28514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Prepare comprehensive response packages, self-assessments, and readiness documentation for state and federal regulatory examinations.</w:t>
            </w:r>
          </w:p>
        </w:tc>
      </w:tr>
      <w:tr w:rsidR="00051252" w:rsidRPr="00051252" w14:paraId="1987F9A2"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CC643BD"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D21821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Thorough, factual, and organized. Demonstrate competence and transparency. Examiners appreciate well-organized information that directly addresses their areas of focus.</w:t>
            </w:r>
          </w:p>
        </w:tc>
      </w:tr>
      <w:tr w:rsidR="00051252" w:rsidRPr="00051252" w14:paraId="46A92E30"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080707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A66D94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Exam scope and type identification; organizational chart and key contacts; policy and procedure index; prior exam findings and remediation status; self-assessment of each regulatory area; supporting documentation organized by exam module; management response templates.</w:t>
            </w:r>
          </w:p>
        </w:tc>
      </w:tr>
      <w:tr w:rsidR="00051252" w:rsidRPr="00051252" w14:paraId="331AA15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35DBB48"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DE69CD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Align preparation with the specific examination type (Safety &amp; Soundness, Compliance, BSA/AML, IT/Cybersecurity, CRA, Trust). Reference applicable FFIEC guidance and examination manuals. Ensure all prior MRAs and MRIAs have documented remediation. Coordinate across departments.</w:t>
            </w:r>
          </w:p>
        </w:tc>
      </w:tr>
    </w:tbl>
    <w:p w14:paraId="1FAD69C5" w14:textId="77777777" w:rsidR="006032A1" w:rsidRPr="00051252" w:rsidRDefault="006032A1" w:rsidP="009913EF">
      <w:pPr>
        <w:rPr>
          <w:rFonts w:ascii="Calibri" w:hAnsi="Calibri" w:cs="Calibri"/>
          <w:color w:val="000000" w:themeColor="text1"/>
        </w:rPr>
      </w:pPr>
    </w:p>
    <w:p w14:paraId="7CDFE774" w14:textId="77777777" w:rsidR="006032A1" w:rsidRPr="00051252" w:rsidRDefault="006032A1" w:rsidP="009913EF">
      <w:pPr>
        <w:rPr>
          <w:rFonts w:ascii="Calibri" w:hAnsi="Calibri" w:cs="Calibri"/>
          <w:color w:val="000000" w:themeColor="text1"/>
        </w:rPr>
      </w:pPr>
    </w:p>
    <w:p w14:paraId="34BF4A1F"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240D059A"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298B6034" w14:textId="1740CD28"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62F675AB" w14:textId="7EF93CB6"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6394CF32"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29CAEA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Organize by examination module or CAMELS component</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FE5F27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Wait until the exam is announced to prepare</w:t>
            </w:r>
          </w:p>
        </w:tc>
      </w:tr>
      <w:tr w:rsidR="00051252" w:rsidRPr="00051252" w14:paraId="48DCD3FC"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EDDA21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Document remediation of all prior findings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79FCF3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Hide or minimize known issues</w:t>
            </w:r>
          </w:p>
        </w:tc>
      </w:tr>
      <w:tr w:rsidR="00051252" w:rsidRPr="00051252" w14:paraId="27874A02"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ABD392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self-identified issues with corrective action plans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8462F0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disorganized or incomplete documentation</w:t>
            </w:r>
          </w:p>
        </w:tc>
      </w:tr>
      <w:tr w:rsidR="00051252" w:rsidRPr="00051252" w14:paraId="0F2BC4B2"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C2EEB1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Prepare a dedicated exam room with organized materials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EFEC72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Let staff speak to examiners without preparation</w:t>
            </w:r>
          </w:p>
        </w:tc>
      </w:tr>
      <w:tr w:rsidR="00051252" w:rsidRPr="00051252" w14:paraId="2DC2A903"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D258EB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Designate point persons for each exam area</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4E2041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Fail to track examiner document requests</w:t>
            </w:r>
          </w:p>
        </w:tc>
      </w:tr>
    </w:tbl>
    <w:p w14:paraId="1FDAB1B5" w14:textId="77777777" w:rsidR="006032A1" w:rsidRPr="00051252" w:rsidRDefault="006032A1" w:rsidP="009913EF">
      <w:pPr>
        <w:rPr>
          <w:rFonts w:ascii="Calibri" w:hAnsi="Calibri" w:cs="Calibri"/>
          <w:color w:val="000000" w:themeColor="text1"/>
        </w:rPr>
      </w:pPr>
    </w:p>
    <w:tbl>
      <w:tblPr>
        <w:tblpPr w:leftFromText="180" w:rightFromText="180" w:vertAnchor="text" w:horzAnchor="margin" w:tblpY="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51528295"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2233A7F1"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32BE8073"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Create an exam preparation checklist and cover memo for an upcoming FDIC Safety &amp; Soundness examination. Include sections for capital adequacy, asset quality, management, earnings, liquidity, and sensitivity to market risk (CAMELS). Reference status of prior exam findings. Format as a professional memo from the CIO to the executive team.</w:t>
            </w:r>
          </w:p>
        </w:tc>
      </w:tr>
    </w:tbl>
    <w:p w14:paraId="5C39F937" w14:textId="77777777" w:rsidR="00486778" w:rsidRDefault="00486778" w:rsidP="009913EF">
      <w:pPr>
        <w:rPr>
          <w:rFonts w:ascii="Calibri" w:hAnsi="Calibri" w:cs="Calibri"/>
          <w:b/>
          <w:bCs/>
          <w:color w:val="C00000"/>
          <w:sz w:val="24"/>
          <w:szCs w:val="24"/>
        </w:rPr>
      </w:pPr>
      <w:r>
        <w:br w:type="page"/>
      </w:r>
    </w:p>
    <w:p w14:paraId="69A5B911" w14:textId="6C85988B" w:rsidR="006032A1" w:rsidRPr="00051252" w:rsidRDefault="003F549C" w:rsidP="009913EF">
      <w:pPr>
        <w:pStyle w:val="Heading1"/>
      </w:pPr>
      <w:bookmarkStart w:id="12" w:name="_Toc222209520"/>
      <w:r w:rsidRPr="00051252">
        <w:lastRenderedPageBreak/>
        <w:t>Internal Policy Change Communications</w:t>
      </w:r>
      <w:bookmarkEnd w:id="1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7A0EAD9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5B9B4A5"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053CDE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Announce policy changes to employees clearly, explain the rationale, and ensure understanding of new expectations and effective dates.</w:t>
            </w:r>
          </w:p>
        </w:tc>
      </w:tr>
      <w:tr w:rsidR="00051252" w:rsidRPr="00051252" w14:paraId="6162897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027880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79A315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Authoritative but accessible. Employees need to understand both </w:t>
            </w:r>
            <w:proofErr w:type="gramStart"/>
            <w:r w:rsidRPr="00051252">
              <w:rPr>
                <w:rFonts w:ascii="Calibri" w:hAnsi="Calibri" w:cs="Calibri"/>
                <w:color w:val="000000" w:themeColor="text1"/>
                <w:sz w:val="20"/>
                <w:szCs w:val="20"/>
              </w:rPr>
              <w:t>the what</w:t>
            </w:r>
            <w:proofErr w:type="gramEnd"/>
            <w:r w:rsidRPr="00051252">
              <w:rPr>
                <w:rFonts w:ascii="Calibri" w:hAnsi="Calibri" w:cs="Calibri"/>
                <w:color w:val="000000" w:themeColor="text1"/>
                <w:sz w:val="20"/>
                <w:szCs w:val="20"/>
              </w:rPr>
              <w:t xml:space="preserve"> and </w:t>
            </w:r>
            <w:proofErr w:type="gramStart"/>
            <w:r w:rsidRPr="00051252">
              <w:rPr>
                <w:rFonts w:ascii="Calibri" w:hAnsi="Calibri" w:cs="Calibri"/>
                <w:color w:val="000000" w:themeColor="text1"/>
                <w:sz w:val="20"/>
                <w:szCs w:val="20"/>
              </w:rPr>
              <w:t>the why</w:t>
            </w:r>
            <w:proofErr w:type="gramEnd"/>
            <w:r w:rsidRPr="00051252">
              <w:rPr>
                <w:rFonts w:ascii="Calibri" w:hAnsi="Calibri" w:cs="Calibri"/>
                <w:color w:val="000000" w:themeColor="text1"/>
                <w:sz w:val="20"/>
                <w:szCs w:val="20"/>
              </w:rPr>
              <w:t>. Avoid bureaucratic language. Make it easy to identify what’s changing and what they need to do differently.</w:t>
            </w:r>
          </w:p>
        </w:tc>
      </w:tr>
      <w:tr w:rsidR="00051252" w:rsidRPr="00051252" w14:paraId="2C514F89"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C3FF43F"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C89C4D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Policy name and number; what is changing (specific before/after); why the change is being made; effective date; who is affected; training requirements; where to find the updated policy; who to contact with questions; acknowledgment requirement.</w:t>
            </w:r>
          </w:p>
        </w:tc>
      </w:tr>
      <w:tr w:rsidR="00051252" w:rsidRPr="00051252" w14:paraId="5706C34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6651608"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F0B13E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Document distribution and employee acknowledgment for compliance audit trail. Ensure policy changes align with current regulatory requirements. Allow adequate time between announcement and effective date for training. Version </w:t>
            </w:r>
            <w:proofErr w:type="gramStart"/>
            <w:r w:rsidRPr="00051252">
              <w:rPr>
                <w:rFonts w:ascii="Calibri" w:hAnsi="Calibri" w:cs="Calibri"/>
                <w:color w:val="000000" w:themeColor="text1"/>
                <w:sz w:val="20"/>
                <w:szCs w:val="20"/>
              </w:rPr>
              <w:t>control</w:t>
            </w:r>
            <w:proofErr w:type="gramEnd"/>
            <w:r w:rsidRPr="00051252">
              <w:rPr>
                <w:rFonts w:ascii="Calibri" w:hAnsi="Calibri" w:cs="Calibri"/>
                <w:color w:val="000000" w:themeColor="text1"/>
                <w:sz w:val="20"/>
                <w:szCs w:val="20"/>
              </w:rPr>
              <w:t xml:space="preserve"> all policy documents.</w:t>
            </w:r>
          </w:p>
        </w:tc>
      </w:tr>
    </w:tbl>
    <w:p w14:paraId="397E7680" w14:textId="77777777" w:rsidR="006032A1" w:rsidRPr="00051252" w:rsidRDefault="006032A1" w:rsidP="009913EF">
      <w:pPr>
        <w:rPr>
          <w:rFonts w:ascii="Calibri" w:hAnsi="Calibri" w:cs="Calibri"/>
          <w:color w:val="000000" w:themeColor="text1"/>
        </w:rPr>
      </w:pPr>
    </w:p>
    <w:p w14:paraId="2DC0D7BE" w14:textId="77777777" w:rsidR="006032A1" w:rsidRPr="00051252" w:rsidRDefault="006032A1" w:rsidP="009913EF">
      <w:pPr>
        <w:rPr>
          <w:rFonts w:ascii="Calibri" w:hAnsi="Calibri" w:cs="Calibri"/>
          <w:color w:val="000000" w:themeColor="text1"/>
        </w:rPr>
      </w:pPr>
    </w:p>
    <w:p w14:paraId="5A2168B1"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3C3E6AE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4EBA31E1" w14:textId="45AB644F"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58186DF0" w14:textId="6B2BB953"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2593882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198DEA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Clearly state what is changing and why</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0A2EE0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Announce changes without adequate lead time</w:t>
            </w:r>
          </w:p>
        </w:tc>
      </w:tr>
      <w:tr w:rsidR="00051252" w:rsidRPr="00051252" w14:paraId="32AD14C9"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7DBC7D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a specific effective date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58E645D"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19"/>
                <w:szCs w:val="19"/>
              </w:rPr>
              <w:t>Use</w:t>
            </w:r>
            <w:proofErr w:type="gramEnd"/>
            <w:r w:rsidRPr="00051252">
              <w:rPr>
                <w:rFonts w:ascii="Calibri" w:hAnsi="Calibri" w:cs="Calibri"/>
                <w:color w:val="000000" w:themeColor="text1"/>
                <w:sz w:val="19"/>
                <w:szCs w:val="19"/>
              </w:rPr>
              <w:t xml:space="preserve"> overly legalistic language employees won’t read</w:t>
            </w:r>
          </w:p>
        </w:tc>
      </w:tr>
      <w:tr w:rsidR="00051252" w:rsidRPr="00051252" w14:paraId="7866D7C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503240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 brief FAQ for common questions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48B2066"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19"/>
                <w:szCs w:val="19"/>
              </w:rPr>
              <w:t>Fail</w:t>
            </w:r>
            <w:proofErr w:type="gramEnd"/>
            <w:r w:rsidRPr="00051252">
              <w:rPr>
                <w:rFonts w:ascii="Calibri" w:hAnsi="Calibri" w:cs="Calibri"/>
                <w:color w:val="000000" w:themeColor="text1"/>
                <w:sz w:val="19"/>
                <w:szCs w:val="19"/>
              </w:rPr>
              <w:t xml:space="preserve"> to explain the business rationale</w:t>
            </w:r>
          </w:p>
        </w:tc>
      </w:tr>
      <w:tr w:rsidR="00051252" w:rsidRPr="00051252" w14:paraId="6F5F3A83"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C7198C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Link to the full updated policy</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CFF0B3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Skip the training or awareness component</w:t>
            </w:r>
          </w:p>
        </w:tc>
      </w:tr>
      <w:tr w:rsidR="00051252" w:rsidRPr="00051252" w14:paraId="537042F1"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354B07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Require and track employee acknowledgment</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303CA2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Distribute without leadership alignment</w:t>
            </w:r>
          </w:p>
        </w:tc>
      </w:tr>
    </w:tbl>
    <w:tbl>
      <w:tblPr>
        <w:tblpPr w:leftFromText="180" w:rightFromText="180" w:vertAnchor="text" w:horzAnchor="margin" w:tblpY="89"/>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0A5ECCA3"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6E5314C0"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044FF460"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 xml:space="preserve">Write an internal communication announcing updates to the Acceptable Use Policy for AI tools. Changes </w:t>
            </w:r>
            <w:proofErr w:type="gramStart"/>
            <w:r w:rsidRPr="00051252">
              <w:rPr>
                <w:rFonts w:ascii="Calibri" w:eastAsia="Consolas" w:hAnsi="Calibri" w:cs="Calibri"/>
                <w:i/>
                <w:iCs/>
                <w:color w:val="000000" w:themeColor="text1"/>
                <w:sz w:val="19"/>
                <w:szCs w:val="19"/>
              </w:rPr>
              <w:t>include:</w:t>
            </w:r>
            <w:proofErr w:type="gramEnd"/>
            <w:r w:rsidRPr="00051252">
              <w:rPr>
                <w:rFonts w:ascii="Calibri" w:eastAsia="Consolas" w:hAnsi="Calibri" w:cs="Calibri"/>
                <w:i/>
                <w:iCs/>
                <w:color w:val="000000" w:themeColor="text1"/>
                <w:sz w:val="19"/>
                <w:szCs w:val="19"/>
              </w:rPr>
              <w:t xml:space="preserve"> approved AI platforms (Claude, Copilot), prohibited uses (customer PII input, credit decisions), required disclosure when AI-assisted content is used externally, and mandatory training completion by [date]. Audience is all employees. Tone should convey this is about responsible innovation, not restriction.</w:t>
            </w:r>
          </w:p>
        </w:tc>
      </w:tr>
    </w:tbl>
    <w:p w14:paraId="14C4F789" w14:textId="77777777" w:rsidR="006032A1" w:rsidRPr="00051252" w:rsidRDefault="006032A1" w:rsidP="009913EF">
      <w:pPr>
        <w:rPr>
          <w:rFonts w:ascii="Calibri" w:hAnsi="Calibri" w:cs="Calibri"/>
          <w:color w:val="000000" w:themeColor="text1"/>
        </w:rPr>
      </w:pPr>
    </w:p>
    <w:p w14:paraId="13D500B8" w14:textId="77777777" w:rsidR="00486778" w:rsidRDefault="00486778" w:rsidP="009913EF">
      <w:pPr>
        <w:rPr>
          <w:rFonts w:ascii="Calibri" w:hAnsi="Calibri" w:cs="Calibri"/>
          <w:b/>
          <w:bCs/>
          <w:color w:val="C00000"/>
          <w:sz w:val="24"/>
          <w:szCs w:val="24"/>
        </w:rPr>
      </w:pPr>
      <w:r>
        <w:br w:type="page"/>
      </w:r>
    </w:p>
    <w:p w14:paraId="6AD6D36C" w14:textId="371AA266" w:rsidR="006032A1" w:rsidRPr="00051252" w:rsidRDefault="003F549C" w:rsidP="009913EF">
      <w:pPr>
        <w:pStyle w:val="Heading1"/>
      </w:pPr>
      <w:bookmarkStart w:id="13" w:name="_Toc222209521"/>
      <w:r w:rsidRPr="00051252">
        <w:lastRenderedPageBreak/>
        <w:t>IT Incident &amp; Outage Notifications</w:t>
      </w:r>
      <w:bookmarkEnd w:id="1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5FB40CA7"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E79C32E"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04199B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Communicate system incidents, outages, and resolutions to appropriate audiences (staff, customers, or both) with clarity and appropriate urgency.</w:t>
            </w:r>
          </w:p>
        </w:tc>
      </w:tr>
      <w:tr w:rsidR="00051252" w:rsidRPr="00051252" w14:paraId="0C5A3E7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9563B76"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C33DAB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Direct, factual, and calm. Internal notifications can be more technical. Customer-facing messages should be simple and reassuring. Provide ETAs when possible and update frequently.</w:t>
            </w:r>
          </w:p>
        </w:tc>
      </w:tr>
      <w:tr w:rsidR="00051252" w:rsidRPr="00051252" w14:paraId="5365C8BD"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D1B974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6883BA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Incident description (non-technical for customers); affected systems or services; start time and estimated resolution; workarounds available; status updates and frequency; resolution confirmation; root cause (for internal post-mortem); preventive measures taken.</w:t>
            </w:r>
          </w:p>
        </w:tc>
      </w:tr>
      <w:tr w:rsidR="00051252" w:rsidRPr="00051252" w14:paraId="15BE413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2D2EEA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11A370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Follow the bank’s Incident Response Plan and escalation procedures. Document per business continuity and disaster recovery requirements. For cyber incidents, follow FinCEN, SEC, and state notification requirements. Comply with the Computer-Security Incident Notification Rule (36-hour notification to OCC/FDIC/FRB for significant incidents).</w:t>
            </w:r>
          </w:p>
        </w:tc>
      </w:tr>
    </w:tbl>
    <w:p w14:paraId="3ED8CFF2" w14:textId="77777777" w:rsidR="006032A1" w:rsidRPr="00051252" w:rsidRDefault="006032A1" w:rsidP="009913EF">
      <w:pPr>
        <w:rPr>
          <w:rFonts w:ascii="Calibri" w:hAnsi="Calibri" w:cs="Calibri"/>
          <w:color w:val="000000" w:themeColor="text1"/>
        </w:rPr>
      </w:pPr>
    </w:p>
    <w:p w14:paraId="32B0F7B8" w14:textId="77777777" w:rsidR="006032A1" w:rsidRPr="00051252" w:rsidRDefault="006032A1" w:rsidP="009913EF">
      <w:pPr>
        <w:rPr>
          <w:rFonts w:ascii="Calibri" w:hAnsi="Calibri" w:cs="Calibri"/>
          <w:color w:val="000000" w:themeColor="text1"/>
        </w:rPr>
      </w:pPr>
    </w:p>
    <w:p w14:paraId="4A1C2F8D"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0B449F50"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365908AB" w14:textId="767969F9"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10AE56CD" w14:textId="28F93E66"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563EE88D"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2A0735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timely initial notification even with limited info</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074A73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Delay notification while investigating</w:t>
            </w:r>
          </w:p>
        </w:tc>
      </w:tr>
      <w:tr w:rsidR="00051252" w:rsidRPr="00051252" w14:paraId="39597B0B"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66C5CB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Update at regular intervals during the incident</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62CA24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overly technical details to customers</w:t>
            </w:r>
          </w:p>
        </w:tc>
      </w:tr>
      <w:tr w:rsidR="00051252" w:rsidRPr="00051252" w14:paraId="6E532CD1"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8D2304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Offer workarounds when available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29236F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promises about resolution times you can’t keep</w:t>
            </w:r>
          </w:p>
        </w:tc>
      </w:tr>
      <w:tr w:rsidR="00051252" w:rsidRPr="00051252" w14:paraId="5D645037"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7EB49A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Confirm resolution clearly when complete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874A17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Forget to send the “all clear” message</w:t>
            </w:r>
          </w:p>
        </w:tc>
      </w:tr>
      <w:tr w:rsidR="00051252" w:rsidRPr="00051252" w14:paraId="09AAAE8B"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C6627F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Conduct and share post-incident review findings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61834B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Skip the post-incident review</w:t>
            </w:r>
          </w:p>
        </w:tc>
      </w:tr>
    </w:tbl>
    <w:p w14:paraId="73F6B31B" w14:textId="77777777" w:rsidR="006032A1" w:rsidRPr="00051252" w:rsidRDefault="006032A1" w:rsidP="009913EF">
      <w:pPr>
        <w:rPr>
          <w:rFonts w:ascii="Calibri" w:hAnsi="Calibri" w:cs="Calibri"/>
          <w:color w:val="000000" w:themeColor="text1"/>
        </w:rPr>
      </w:pPr>
    </w:p>
    <w:tbl>
      <w:tblPr>
        <w:tblpPr w:leftFromText="180" w:rightFromText="180" w:vertAnchor="text" w:horzAnchor="margin" w:tblpY="-7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7077A60C"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09CF8158"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78A1C10A"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three versions of an outage notification for online banking being down for 2 hours: (1) Internal IT staff — technical details, (2) All employees/branch staff — talking points for customer inquiries, (3) Customer-facing — posted on website and social media. Each should be appropriate for its audience.</w:t>
            </w:r>
          </w:p>
        </w:tc>
      </w:tr>
    </w:tbl>
    <w:p w14:paraId="46A64619" w14:textId="77777777" w:rsidR="00486778" w:rsidRDefault="00486778" w:rsidP="009913EF">
      <w:pPr>
        <w:rPr>
          <w:rFonts w:ascii="Calibri" w:hAnsi="Calibri" w:cs="Calibri"/>
          <w:b/>
          <w:bCs/>
          <w:color w:val="C00000"/>
          <w:sz w:val="24"/>
          <w:szCs w:val="24"/>
        </w:rPr>
      </w:pPr>
      <w:r>
        <w:br w:type="page"/>
      </w:r>
    </w:p>
    <w:p w14:paraId="30B5904F" w14:textId="6D894844" w:rsidR="006032A1" w:rsidRPr="00051252" w:rsidRDefault="003F549C" w:rsidP="009913EF">
      <w:pPr>
        <w:pStyle w:val="Heading1"/>
      </w:pPr>
      <w:bookmarkStart w:id="14" w:name="_Toc222209522"/>
      <w:r w:rsidRPr="00051252">
        <w:lastRenderedPageBreak/>
        <w:t>Vendor Outreach &amp; RFP Correspondence</w:t>
      </w:r>
      <w:bookmarkEnd w:id="1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45EB1B4B"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06DEBEF"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401035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Communicate with prospective and existing vendors professionally, issue RFPs, negotiate terms, and manage vendor relationships in compliance with third-party risk management requirements.</w:t>
            </w:r>
          </w:p>
        </w:tc>
      </w:tr>
      <w:tr w:rsidR="00051252" w:rsidRPr="00051252" w14:paraId="6D89ED7D"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782E688"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3D2EAE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Professional, specific, and businesslike. Be clear about requirements and expectations. For RFPs, be thorough in scope without being prescriptive about solutions. For ongoing management, be direct about performance expectations.</w:t>
            </w:r>
          </w:p>
        </w:tc>
      </w:tr>
      <w:tr w:rsidR="00051252" w:rsidRPr="00051252" w14:paraId="7DE2708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F68CB3F"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24A0D0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Bank overview and context; specific requirements and scope; evaluation criteria and weighting; timeline and milestones; submission requirements and format; due diligence requirements (SOC reports, financials, insurance, BCP); contract terms expectations; point of contact.</w:t>
            </w:r>
          </w:p>
        </w:tc>
      </w:tr>
      <w:tr w:rsidR="00051252" w:rsidRPr="00051252" w14:paraId="4097F9BB"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304B519"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6A4853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Follow OCC/FDIC/FRB third-party risk management guidance. Require critical vendors to provide SOC 2 reports, BCP/DR testing results, and cyber insurance documentation. Include right-to-audit clauses. Ensure vendor due diligence aligns with risk tier classification. Document all vendor communications.</w:t>
            </w:r>
          </w:p>
        </w:tc>
      </w:tr>
    </w:tbl>
    <w:p w14:paraId="215457D9" w14:textId="77777777" w:rsidR="006032A1" w:rsidRPr="00051252" w:rsidRDefault="006032A1" w:rsidP="009913EF">
      <w:pPr>
        <w:rPr>
          <w:rFonts w:ascii="Calibri" w:hAnsi="Calibri" w:cs="Calibri"/>
          <w:color w:val="000000" w:themeColor="text1"/>
        </w:rPr>
      </w:pPr>
    </w:p>
    <w:p w14:paraId="5FCBAC79" w14:textId="77777777" w:rsidR="006032A1" w:rsidRPr="00051252" w:rsidRDefault="006032A1" w:rsidP="009913EF">
      <w:pPr>
        <w:rPr>
          <w:rFonts w:ascii="Calibri" w:hAnsi="Calibri" w:cs="Calibri"/>
          <w:color w:val="000000" w:themeColor="text1"/>
        </w:rPr>
      </w:pPr>
    </w:p>
    <w:p w14:paraId="23A48F7A"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6551F2BB"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7B20F5E9" w14:textId="7222F1C7"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3A86ED7F" w14:textId="0DDD798E"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061DFC2F"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3D9E8B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Clearly define scope, requirements, and timeline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9C1AD3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Issue vague RFPs that invite mismatched responses</w:t>
            </w:r>
          </w:p>
        </w:tc>
      </w:tr>
      <w:tr w:rsidR="00051252" w:rsidRPr="00051252" w14:paraId="65B719AB"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760403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specific evaluation criteria</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28C26B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Skip due diligence requirements in initial outreach</w:t>
            </w:r>
          </w:p>
        </w:tc>
      </w:tr>
      <w:tr w:rsidR="00051252" w:rsidRPr="00051252" w14:paraId="19F6747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C609C5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Request all required due diligence documentation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15BCDE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Allow vendor relationships without executed contracts</w:t>
            </w:r>
          </w:p>
        </w:tc>
      </w:tr>
      <w:tr w:rsidR="00051252" w:rsidRPr="00051252" w14:paraId="6C71BEFF"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EDE4AB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realistic timelines for vendor response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0E4969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Neglect to include information security requirements</w:t>
            </w:r>
          </w:p>
        </w:tc>
      </w:tr>
      <w:tr w:rsidR="00051252" w:rsidRPr="00051252" w14:paraId="65DEEAF2"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2B939E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right-to-audit and subcontractor provisions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6EFBAD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Rush the evaluation process to meet arbitrary deadlines</w:t>
            </w:r>
          </w:p>
        </w:tc>
      </w:tr>
    </w:tbl>
    <w:tbl>
      <w:tblPr>
        <w:tblpPr w:leftFromText="180" w:rightFromText="180" w:vertAnchor="text" w:horzAnchor="margin" w:tblpY="166"/>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3626B146"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6E5A9CF2"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2543D3F2"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an RFP cover letter for a core banking system evaluation. [Bank Name] is a $500M community bank seeking proposals for core processing, digital banking, and integrated payments. Include evaluation timeline, required vendor qualifications (community bank experience, regulatory compliance track record), and due diligence documentation requirements. Professional but approachable tone.</w:t>
            </w:r>
          </w:p>
        </w:tc>
      </w:tr>
    </w:tbl>
    <w:p w14:paraId="33E82C0B" w14:textId="77777777" w:rsidR="006032A1" w:rsidRPr="00051252" w:rsidRDefault="006032A1" w:rsidP="009913EF">
      <w:pPr>
        <w:rPr>
          <w:rFonts w:ascii="Calibri" w:hAnsi="Calibri" w:cs="Calibri"/>
          <w:color w:val="000000" w:themeColor="text1"/>
        </w:rPr>
      </w:pPr>
    </w:p>
    <w:p w14:paraId="5C21D079" w14:textId="77777777" w:rsidR="00486778" w:rsidRDefault="00486778" w:rsidP="009913EF">
      <w:pPr>
        <w:rPr>
          <w:rFonts w:ascii="Calibri" w:hAnsi="Calibri" w:cs="Calibri"/>
          <w:b/>
          <w:bCs/>
          <w:color w:val="C00000"/>
          <w:sz w:val="24"/>
          <w:szCs w:val="24"/>
        </w:rPr>
      </w:pPr>
      <w:r>
        <w:br w:type="page"/>
      </w:r>
    </w:p>
    <w:p w14:paraId="11A1CE7B" w14:textId="73DC0E69" w:rsidR="006032A1" w:rsidRPr="00051252" w:rsidRDefault="003F549C" w:rsidP="009913EF">
      <w:pPr>
        <w:pStyle w:val="Heading1"/>
      </w:pPr>
      <w:bookmarkStart w:id="15" w:name="_Toc222209523"/>
      <w:r w:rsidRPr="00051252">
        <w:lastRenderedPageBreak/>
        <w:t>Social Media Posts (LinkedIn &amp; Facebook)</w:t>
      </w:r>
      <w:bookmarkEnd w:id="1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488A5D3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77B03B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549BAA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Create engaging social media content that builds brand awareness, </w:t>
            </w:r>
            <w:proofErr w:type="gramStart"/>
            <w:r w:rsidRPr="00051252">
              <w:rPr>
                <w:rFonts w:ascii="Calibri" w:hAnsi="Calibri" w:cs="Calibri"/>
                <w:color w:val="000000" w:themeColor="text1"/>
                <w:sz w:val="20"/>
                <w:szCs w:val="20"/>
              </w:rPr>
              <w:t>showcases</w:t>
            </w:r>
            <w:proofErr w:type="gramEnd"/>
            <w:r w:rsidRPr="00051252">
              <w:rPr>
                <w:rFonts w:ascii="Calibri" w:hAnsi="Calibri" w:cs="Calibri"/>
                <w:color w:val="000000" w:themeColor="text1"/>
                <w:sz w:val="20"/>
                <w:szCs w:val="20"/>
              </w:rPr>
              <w:t xml:space="preserve"> community involvement, highlights employee achievements, and promotes financial literacy.</w:t>
            </w:r>
          </w:p>
        </w:tc>
      </w:tr>
      <w:tr w:rsidR="00051252" w:rsidRPr="00051252" w14:paraId="3AD40EA1"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F275BA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3F2F5F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Authentic, community-proud, and approachable. LinkedIn: professional thought leadership with a local lens. Facebook: warm, community-focused, and conversational. Both: avoid looking like every other bank. Show personality and genuine community connection.</w:t>
            </w:r>
          </w:p>
        </w:tc>
      </w:tr>
      <w:tr w:rsidR="00051252" w:rsidRPr="00051252" w14:paraId="4C32FB5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4420BE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4CF9FD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Concise messaging (LinkedIn: 150-300 words; Facebook: 50-150 words); relevant hashtags (2-4 max); call to action where appropriate; image or video suggestion; compliance-reviewed financial claims; accessibility considerations (alt text, captions).</w:t>
            </w:r>
          </w:p>
        </w:tc>
      </w:tr>
      <w:tr w:rsidR="00051252" w:rsidRPr="00051252" w14:paraId="4355A77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AE19126"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A8A366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All social media content must be reviewed for Reg DD, TILA, and fair lending compliance before posting. Rate claims need full disclosures. Include FDIC and Equal Housing Lender in profile, not every post. Follow the bank’s social media policy. Archive all posts per record retention requirements. NEVER provide specific financial advice on social media.</w:t>
            </w:r>
          </w:p>
        </w:tc>
      </w:tr>
    </w:tbl>
    <w:p w14:paraId="48076EB4" w14:textId="77777777" w:rsidR="006032A1" w:rsidRPr="00051252" w:rsidRDefault="006032A1" w:rsidP="009913EF">
      <w:pPr>
        <w:rPr>
          <w:rFonts w:ascii="Calibri" w:hAnsi="Calibri" w:cs="Calibri"/>
          <w:color w:val="000000" w:themeColor="text1"/>
        </w:rPr>
      </w:pPr>
    </w:p>
    <w:p w14:paraId="0EA31BBB" w14:textId="77777777" w:rsidR="006032A1" w:rsidRPr="00051252" w:rsidRDefault="006032A1" w:rsidP="009913EF">
      <w:pPr>
        <w:rPr>
          <w:rFonts w:ascii="Calibri" w:hAnsi="Calibri" w:cs="Calibri"/>
          <w:color w:val="000000" w:themeColor="text1"/>
        </w:rPr>
      </w:pPr>
    </w:p>
    <w:p w14:paraId="226B88A3"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6948DE42"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1265956E" w14:textId="0C47C78C"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5E2269FC" w14:textId="2C8F36BF"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62F3EAF6"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B83718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Show genuine community involvement with specific stories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CA722E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Post generic corporate content that could be any bank</w:t>
            </w:r>
          </w:p>
        </w:tc>
      </w:tr>
      <w:tr w:rsidR="00051252" w:rsidRPr="00051252" w14:paraId="4D74AD5F"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289CBC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authentic, conversational language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B5BD7D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financial claims without required disclosures</w:t>
            </w:r>
          </w:p>
        </w:tc>
      </w:tr>
      <w:tr w:rsidR="00051252" w:rsidRPr="00051252" w14:paraId="14F627DF"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02BF3E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relevant local hashtags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139797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stock photos when real community photos exist</w:t>
            </w:r>
          </w:p>
        </w:tc>
      </w:tr>
      <w:tr w:rsidR="00051252" w:rsidRPr="00051252" w14:paraId="6511D0BA"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26454B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Feature employees and customers (with permission)</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E134A3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Post without compliance review for regulated content</w:t>
            </w:r>
          </w:p>
        </w:tc>
      </w:tr>
      <w:tr w:rsidR="00051252" w:rsidRPr="00051252" w14:paraId="4DD7F8BB"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7815FB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Tie posts back to the bank’s community mission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942AC4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Ignore comments or respond inconsistently</w:t>
            </w:r>
          </w:p>
        </w:tc>
      </w:tr>
    </w:tbl>
    <w:tbl>
      <w:tblPr>
        <w:tblpPr w:leftFromText="180" w:rightFromText="180" w:vertAnchor="text" w:horzAnchor="margin" w:tblpY="159"/>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0ED7A09C"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459451A3"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660CA9B6"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 xml:space="preserve">Write a LinkedIn post from the bank’s perspective about sponsoring the local high school’s financial literacy program. Mention that 200+ students participated, highlight one memorable moment (a student opening their first savings account), and connect it to the bank’s mission. Should feel genuinely proud, </w:t>
            </w:r>
            <w:proofErr w:type="gramStart"/>
            <w:r w:rsidRPr="00051252">
              <w:rPr>
                <w:rFonts w:ascii="Calibri" w:eastAsia="Consolas" w:hAnsi="Calibri" w:cs="Calibri"/>
                <w:i/>
                <w:iCs/>
                <w:color w:val="000000" w:themeColor="text1"/>
                <w:sz w:val="19"/>
                <w:szCs w:val="19"/>
              </w:rPr>
              <w:t>not self-</w:t>
            </w:r>
            <w:proofErr w:type="gramEnd"/>
            <w:r w:rsidRPr="00051252">
              <w:rPr>
                <w:rFonts w:ascii="Calibri" w:eastAsia="Consolas" w:hAnsi="Calibri" w:cs="Calibri"/>
                <w:i/>
                <w:iCs/>
                <w:color w:val="000000" w:themeColor="text1"/>
                <w:sz w:val="19"/>
                <w:szCs w:val="19"/>
              </w:rPr>
              <w:t>congratulatory. Suggest 3 hashtag options.</w:t>
            </w:r>
          </w:p>
        </w:tc>
      </w:tr>
    </w:tbl>
    <w:p w14:paraId="716E0F13" w14:textId="77777777" w:rsidR="006032A1" w:rsidRPr="00051252" w:rsidRDefault="006032A1" w:rsidP="009913EF">
      <w:pPr>
        <w:rPr>
          <w:rFonts w:ascii="Calibri" w:hAnsi="Calibri" w:cs="Calibri"/>
          <w:color w:val="000000" w:themeColor="text1"/>
        </w:rPr>
      </w:pPr>
    </w:p>
    <w:p w14:paraId="0D3AD23B" w14:textId="77777777" w:rsidR="00486778" w:rsidRDefault="00486778" w:rsidP="009913EF">
      <w:pPr>
        <w:rPr>
          <w:rFonts w:ascii="Calibri" w:hAnsi="Calibri" w:cs="Calibri"/>
          <w:b/>
          <w:bCs/>
          <w:color w:val="C00000"/>
          <w:sz w:val="24"/>
          <w:szCs w:val="24"/>
        </w:rPr>
      </w:pPr>
      <w:r>
        <w:br w:type="page"/>
      </w:r>
    </w:p>
    <w:p w14:paraId="475DE968" w14:textId="18479564" w:rsidR="006032A1" w:rsidRPr="00051252" w:rsidRDefault="003F549C" w:rsidP="009913EF">
      <w:pPr>
        <w:pStyle w:val="Heading1"/>
      </w:pPr>
      <w:bookmarkStart w:id="16" w:name="_Toc222209524"/>
      <w:r w:rsidRPr="00051252">
        <w:lastRenderedPageBreak/>
        <w:t>Community Event Announcements</w:t>
      </w:r>
      <w:bookmarkEnd w:id="1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483B577D"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8D01165"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1384EF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Promote bank-sponsored or community events, drive attendance, and reinforce the bank’s role as a community pillar.</w:t>
            </w:r>
          </w:p>
        </w:tc>
      </w:tr>
      <w:tr w:rsidR="00051252" w:rsidRPr="00051252" w14:paraId="4254E36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79841D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7235A8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Enthusiastic, inclusive, and </w:t>
            </w:r>
            <w:proofErr w:type="gramStart"/>
            <w:r w:rsidRPr="00051252">
              <w:rPr>
                <w:rFonts w:ascii="Calibri" w:hAnsi="Calibri" w:cs="Calibri"/>
                <w:color w:val="000000" w:themeColor="text1"/>
                <w:sz w:val="20"/>
                <w:szCs w:val="20"/>
              </w:rPr>
              <w:t>community-spirited</w:t>
            </w:r>
            <w:proofErr w:type="gramEnd"/>
            <w:r w:rsidRPr="00051252">
              <w:rPr>
                <w:rFonts w:ascii="Calibri" w:hAnsi="Calibri" w:cs="Calibri"/>
                <w:color w:val="000000" w:themeColor="text1"/>
                <w:sz w:val="20"/>
                <w:szCs w:val="20"/>
              </w:rPr>
              <w:t>. Make people feel invited and welcome. Highlight the community benefit, not the bank’s branding. Practical details should be front and center.</w:t>
            </w:r>
          </w:p>
        </w:tc>
      </w:tr>
      <w:tr w:rsidR="00051252" w:rsidRPr="00051252" w14:paraId="4A0F0B45"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DA5CC8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CA326A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Event name and description; date, time, and location; what attendees can expect; any registration requirements; accessibility information; parking/transportation notes; contact for questions; bank’s role (sponsor, host, participant); weather contingency if outdoor.</w:t>
            </w:r>
          </w:p>
        </w:tc>
      </w:tr>
      <w:tr w:rsidR="00051252" w:rsidRPr="00051252" w14:paraId="0F44790F"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3E3022DE"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7B67F7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Ensure event marketing complies with fair lending and CRA requirements. Events should be accessible and non-discriminatory. If collecting personal information at events, follow privacy policies. Food events may need health department considerations.</w:t>
            </w:r>
          </w:p>
        </w:tc>
      </w:tr>
    </w:tbl>
    <w:p w14:paraId="50E4E7D9" w14:textId="77777777" w:rsidR="006032A1" w:rsidRPr="00051252" w:rsidRDefault="006032A1" w:rsidP="009913EF">
      <w:pPr>
        <w:rPr>
          <w:rFonts w:ascii="Calibri" w:hAnsi="Calibri" w:cs="Calibri"/>
          <w:color w:val="000000" w:themeColor="text1"/>
        </w:rPr>
      </w:pPr>
    </w:p>
    <w:p w14:paraId="6A052AD1" w14:textId="77777777" w:rsidR="006032A1" w:rsidRPr="00051252" w:rsidRDefault="006032A1" w:rsidP="009913EF">
      <w:pPr>
        <w:rPr>
          <w:rFonts w:ascii="Calibri" w:hAnsi="Calibri" w:cs="Calibri"/>
          <w:color w:val="000000" w:themeColor="text1"/>
        </w:rPr>
      </w:pPr>
    </w:p>
    <w:p w14:paraId="63487482"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15CDFBF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6DAA89B2" w14:textId="10E35041"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42717623" w14:textId="207D73FD"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78528AF8"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A476DF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Lead with the community benefit, not the bank brand</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151C07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it feel like a thinly veiled sales event</w:t>
            </w:r>
          </w:p>
        </w:tc>
      </w:tr>
      <w:tr w:rsidR="00051252" w:rsidRPr="00051252" w14:paraId="02E2671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1AA4D3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all practical details (time, place, parking)</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D604FC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Forget critical logistics details</w:t>
            </w:r>
          </w:p>
        </w:tc>
      </w:tr>
      <w:tr w:rsidR="00051252" w:rsidRPr="00051252" w14:paraId="5B20789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29A456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it sound fun and worth attending</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365956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exclusionary language or imagery</w:t>
            </w:r>
          </w:p>
        </w:tc>
      </w:tr>
      <w:tr w:rsidR="00051252" w:rsidRPr="00051252" w14:paraId="58DF80F7"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7BFF8B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accessibility information</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AB5BB4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Over-promote bank products at community events</w:t>
            </w:r>
          </w:p>
        </w:tc>
      </w:tr>
      <w:tr w:rsidR="00051252" w:rsidRPr="00051252" w14:paraId="7C4D5690"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163779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Create urgency without being pushy</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FEEEED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Forget to plan for weather contingencies</w:t>
            </w:r>
          </w:p>
        </w:tc>
      </w:tr>
    </w:tbl>
    <w:tbl>
      <w:tblPr>
        <w:tblpPr w:leftFromText="180" w:rightFromText="180" w:vertAnchor="text" w:horzAnchor="margin" w:tblpY="119"/>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32758A71"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252F53D6"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23B00326"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community event announcement for [Bank Name]’s annual Shred Day and Financial Wellness Fair. Include: free document shredding (limit 3 boxes), booths with fraud prevention tips, free credit report review stations, kids’ financial literacy activities, food trucks. Saturday 10am-2pm at the main branch parking lot. Tone should make this sound fun and valuable, not like a bank obligation.</w:t>
            </w:r>
          </w:p>
        </w:tc>
      </w:tr>
    </w:tbl>
    <w:p w14:paraId="3DFED5D0" w14:textId="77777777" w:rsidR="006032A1" w:rsidRPr="00051252" w:rsidRDefault="006032A1" w:rsidP="009913EF">
      <w:pPr>
        <w:rPr>
          <w:rFonts w:ascii="Calibri" w:hAnsi="Calibri" w:cs="Calibri"/>
          <w:color w:val="000000" w:themeColor="text1"/>
        </w:rPr>
      </w:pPr>
    </w:p>
    <w:p w14:paraId="2416708A" w14:textId="77777777" w:rsidR="00486778" w:rsidRDefault="00486778" w:rsidP="009913EF">
      <w:pPr>
        <w:rPr>
          <w:rFonts w:ascii="Calibri" w:hAnsi="Calibri" w:cs="Calibri"/>
          <w:b/>
          <w:bCs/>
          <w:color w:val="C00000"/>
          <w:sz w:val="24"/>
          <w:szCs w:val="24"/>
        </w:rPr>
      </w:pPr>
      <w:r>
        <w:br w:type="page"/>
      </w:r>
    </w:p>
    <w:p w14:paraId="3CEC5D93" w14:textId="249FDE0D" w:rsidR="006032A1" w:rsidRPr="00051252" w:rsidRDefault="003F549C" w:rsidP="009913EF">
      <w:pPr>
        <w:pStyle w:val="Heading1"/>
      </w:pPr>
      <w:bookmarkStart w:id="17" w:name="_Toc222209525"/>
      <w:r w:rsidRPr="00051252">
        <w:lastRenderedPageBreak/>
        <w:t>Financial Literacy &amp; Education Content</w:t>
      </w:r>
      <w:bookmarkEnd w:id="1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5356F43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2CEAB2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D885CA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Create educational content that helps community members improve their financial knowledge and make informed decisions, reinforcing the bank’s role as a trusted advisor.</w:t>
            </w:r>
          </w:p>
        </w:tc>
      </w:tr>
      <w:tr w:rsidR="00051252" w:rsidRPr="00051252" w14:paraId="24A43B4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9E4C13E"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7D655B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Approachable, educational, and empowering. Explain concepts in plain English. Use relatable examples. Never condescending. Make financial topics feel manageable, not intimidating.</w:t>
            </w:r>
          </w:p>
        </w:tc>
      </w:tr>
      <w:tr w:rsidR="00051252" w:rsidRPr="00051252" w14:paraId="3790EAF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B830A2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D29619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Clear topic focus; plain-language explanations; practical examples relevant to the community; actionable tips; visual aids or infographic suggestions; appropriate reading level (aim for 8th grade); next steps or resources; disclaimer that this is educational, not financial advice.</w:t>
            </w:r>
          </w:p>
        </w:tc>
      </w:tr>
      <w:tr w:rsidR="00051252" w:rsidRPr="00051252" w14:paraId="3F1D6203"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D93DABB"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C3B043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Include appropriate disclaimers that content is educational and not personalized financial advice. </w:t>
            </w:r>
            <w:proofErr w:type="gramStart"/>
            <w:r w:rsidRPr="00051252">
              <w:rPr>
                <w:rFonts w:ascii="Calibri" w:hAnsi="Calibri" w:cs="Calibri"/>
                <w:color w:val="000000" w:themeColor="text1"/>
                <w:sz w:val="20"/>
                <w:szCs w:val="20"/>
              </w:rPr>
              <w:t>Ensure</w:t>
            </w:r>
            <w:proofErr w:type="gramEnd"/>
            <w:r w:rsidRPr="00051252">
              <w:rPr>
                <w:rFonts w:ascii="Calibri" w:hAnsi="Calibri" w:cs="Calibri"/>
                <w:color w:val="000000" w:themeColor="text1"/>
                <w:sz w:val="20"/>
                <w:szCs w:val="20"/>
              </w:rPr>
              <w:t xml:space="preserve"> content complies with fair lending — do not target or exclude protected classes. Review for UDAAP compliance. Do not make guarantees about financial outcomes.</w:t>
            </w:r>
          </w:p>
        </w:tc>
      </w:tr>
    </w:tbl>
    <w:p w14:paraId="6545D11F" w14:textId="77777777" w:rsidR="006032A1" w:rsidRPr="00051252" w:rsidRDefault="006032A1" w:rsidP="009913EF">
      <w:pPr>
        <w:rPr>
          <w:rFonts w:ascii="Calibri" w:hAnsi="Calibri" w:cs="Calibri"/>
          <w:color w:val="000000" w:themeColor="text1"/>
        </w:rPr>
      </w:pPr>
    </w:p>
    <w:p w14:paraId="0A3AC8A1" w14:textId="77777777" w:rsidR="006032A1" w:rsidRPr="00051252" w:rsidRDefault="006032A1" w:rsidP="009913EF">
      <w:pPr>
        <w:rPr>
          <w:rFonts w:ascii="Calibri" w:hAnsi="Calibri" w:cs="Calibri"/>
          <w:color w:val="000000" w:themeColor="text1"/>
        </w:rPr>
      </w:pPr>
    </w:p>
    <w:p w14:paraId="0C2F7992"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02FE98F1"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1457888B" w14:textId="0CF9F059"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7D1E004E" w14:textId="6FDF1CDB"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49E9E580"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C3DF88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plain language at an accessible reading level</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074BFA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financial jargon without explanation</w:t>
            </w:r>
          </w:p>
        </w:tc>
      </w:tr>
      <w:tr w:rsidR="00051252" w:rsidRPr="00051252" w14:paraId="0962DD6A"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D164C5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relatable, real-world examples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B7CAF6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Be condescending about financial situations</w:t>
            </w:r>
          </w:p>
        </w:tc>
      </w:tr>
      <w:tr w:rsidR="00051252" w:rsidRPr="00051252" w14:paraId="52A350C8"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0D4E5C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actionable steps readers can take today</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280CF7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guarantees about outcomes</w:t>
            </w:r>
          </w:p>
        </w:tc>
      </w:tr>
      <w:tr w:rsidR="00051252" w:rsidRPr="00051252" w14:paraId="2DD13CCA"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E5EF8F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an educational disclaimer</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C824D0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Target or exclude specific demographic groups</w:t>
            </w:r>
          </w:p>
        </w:tc>
      </w:tr>
      <w:tr w:rsidR="00051252" w:rsidRPr="00051252" w14:paraId="60F7BA66"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F15DCF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Test content with non-financial staff for clarity</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4CB93F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Disguise product marketing as education</w:t>
            </w:r>
          </w:p>
        </w:tc>
      </w:tr>
    </w:tbl>
    <w:p w14:paraId="1AB6D531" w14:textId="77777777" w:rsidR="006032A1" w:rsidRPr="00051252" w:rsidRDefault="006032A1" w:rsidP="009913EF">
      <w:pPr>
        <w:rPr>
          <w:rFonts w:ascii="Calibri" w:hAnsi="Calibri" w:cs="Calibri"/>
          <w:color w:val="000000" w:themeColor="text1"/>
        </w:rPr>
      </w:pPr>
    </w:p>
    <w:tbl>
      <w:tblPr>
        <w:tblpPr w:leftFromText="180" w:rightFromText="180" w:vertAnchor="text" w:horzAnchor="margin" w:tblpY="-79"/>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32CDEA5B"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385E0620"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0A1DC2FC"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financial literacy article about “5 Steps to Building an Emergency Fund on Any Income.” Target audience is working families in our community. Use practical, relatable examples (unexpected car repair, medical bill). Include a simple savings calculator concept. Tone should be encouraging and non-judgmental about current financial situations. Include educational disclaimer.</w:t>
            </w:r>
          </w:p>
        </w:tc>
      </w:tr>
    </w:tbl>
    <w:p w14:paraId="660BA4E3" w14:textId="77777777" w:rsidR="00486778" w:rsidRDefault="00486778" w:rsidP="009913EF">
      <w:pPr>
        <w:rPr>
          <w:rFonts w:ascii="Calibri" w:hAnsi="Calibri" w:cs="Calibri"/>
          <w:b/>
          <w:bCs/>
          <w:color w:val="C00000"/>
          <w:sz w:val="24"/>
          <w:szCs w:val="24"/>
        </w:rPr>
      </w:pPr>
      <w:r>
        <w:br w:type="page"/>
      </w:r>
    </w:p>
    <w:p w14:paraId="4B3CEC8D" w14:textId="0BE8337B" w:rsidR="006032A1" w:rsidRPr="00051252" w:rsidRDefault="003F549C" w:rsidP="009913EF">
      <w:pPr>
        <w:pStyle w:val="Heading1"/>
      </w:pPr>
      <w:bookmarkStart w:id="18" w:name="_Toc222209526"/>
      <w:r w:rsidRPr="00051252">
        <w:lastRenderedPageBreak/>
        <w:t>Employee Recognition &amp; Appreciation</w:t>
      </w:r>
      <w:bookmarkEnd w:id="1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422A3DD6"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B4BB376"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230B8B2"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20"/>
                <w:szCs w:val="20"/>
              </w:rPr>
              <w:t>Celebrate</w:t>
            </w:r>
            <w:proofErr w:type="gramEnd"/>
            <w:r w:rsidRPr="00051252">
              <w:rPr>
                <w:rFonts w:ascii="Calibri" w:hAnsi="Calibri" w:cs="Calibri"/>
                <w:color w:val="000000" w:themeColor="text1"/>
                <w:sz w:val="20"/>
                <w:szCs w:val="20"/>
              </w:rPr>
              <w:t xml:space="preserve"> employee achievements, milestones, and contributions in a way that feels genuine, reinforces culture, and motivates the team.</w:t>
            </w:r>
          </w:p>
        </w:tc>
      </w:tr>
      <w:tr w:rsidR="00051252" w:rsidRPr="00051252" w14:paraId="0D3043B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99304EB"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830A4D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Genuine, specific, and warm. Generic praise feels </w:t>
            </w:r>
            <w:proofErr w:type="gramStart"/>
            <w:r w:rsidRPr="00051252">
              <w:rPr>
                <w:rFonts w:ascii="Calibri" w:hAnsi="Calibri" w:cs="Calibri"/>
                <w:color w:val="000000" w:themeColor="text1"/>
                <w:sz w:val="20"/>
                <w:szCs w:val="20"/>
              </w:rPr>
              <w:t>hollow — specificity</w:t>
            </w:r>
            <w:proofErr w:type="gramEnd"/>
            <w:r w:rsidRPr="00051252">
              <w:rPr>
                <w:rFonts w:ascii="Calibri" w:hAnsi="Calibri" w:cs="Calibri"/>
                <w:color w:val="000000" w:themeColor="text1"/>
                <w:sz w:val="20"/>
                <w:szCs w:val="20"/>
              </w:rPr>
              <w:t xml:space="preserve"> shows you’re paying attention. Celebrate the behavior and impact, not just the result. Make it feel personal.</w:t>
            </w:r>
          </w:p>
        </w:tc>
      </w:tr>
      <w:tr w:rsidR="00051252" w:rsidRPr="00051252" w14:paraId="546CCF80"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FA29023"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A803B3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Employee name and role; specific achievement or behavior being recognized; impact on the team, customers, or bank; connection to bank values or mission; personal message from leadership; how others can congratulate them.</w:t>
            </w:r>
          </w:p>
        </w:tc>
      </w:tr>
      <w:tr w:rsidR="00051252" w:rsidRPr="00051252" w14:paraId="3BDDD276"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6D613A83"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60EABB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Follow HR policies for public recognition. Be mindful of privacy preferences — some employees prefer private recognition. Ensure recognition programs are equitable across departments and demographics. Performance-based recognition should align with documented performance management processes.</w:t>
            </w:r>
          </w:p>
        </w:tc>
      </w:tr>
    </w:tbl>
    <w:p w14:paraId="47DFC9F0" w14:textId="77777777" w:rsidR="006032A1" w:rsidRPr="00051252" w:rsidRDefault="006032A1" w:rsidP="009913EF">
      <w:pPr>
        <w:rPr>
          <w:rFonts w:ascii="Calibri" w:hAnsi="Calibri" w:cs="Calibri"/>
          <w:color w:val="000000" w:themeColor="text1"/>
        </w:rPr>
      </w:pPr>
    </w:p>
    <w:p w14:paraId="7D73B94B" w14:textId="77777777" w:rsidR="006032A1" w:rsidRPr="00051252" w:rsidRDefault="006032A1" w:rsidP="009913EF">
      <w:pPr>
        <w:rPr>
          <w:rFonts w:ascii="Calibri" w:hAnsi="Calibri" w:cs="Calibri"/>
          <w:color w:val="000000" w:themeColor="text1"/>
        </w:rPr>
      </w:pPr>
    </w:p>
    <w:p w14:paraId="5B985E84"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735563CC"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7F6ED9EC" w14:textId="18280314"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5AAB291F" w14:textId="365B19DE"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794EFF09"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DE28BA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Be specific about what the employee did and why it matters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713AFD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generic, template-sounding praise</w:t>
            </w:r>
          </w:p>
        </w:tc>
      </w:tr>
      <w:tr w:rsidR="00051252" w:rsidRPr="00051252" w14:paraId="2AF27CC7"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69AF43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Connect recognition to bank values and mission</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1984DE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Recognize only high-visibility roles or departments</w:t>
            </w:r>
          </w:p>
        </w:tc>
      </w:tr>
      <w:tr w:rsidR="00051252" w:rsidRPr="00051252" w14:paraId="6A2EA4AF"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3A9A58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 personal note from leadership</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E40E21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Share details the employee prefers to keep private</w:t>
            </w:r>
          </w:p>
        </w:tc>
      </w:tr>
      <w:tr w:rsidR="00051252" w:rsidRPr="00051252" w14:paraId="7ABF93AE"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A70B1F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Recognize the behavior, not just the outcome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068ACF1"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19"/>
                <w:szCs w:val="19"/>
              </w:rPr>
              <w:t>Create</w:t>
            </w:r>
            <w:proofErr w:type="gramEnd"/>
            <w:r w:rsidRPr="00051252">
              <w:rPr>
                <w:rFonts w:ascii="Calibri" w:hAnsi="Calibri" w:cs="Calibri"/>
                <w:color w:val="000000" w:themeColor="text1"/>
                <w:sz w:val="19"/>
                <w:szCs w:val="19"/>
              </w:rPr>
              <w:t xml:space="preserve"> </w:t>
            </w:r>
            <w:proofErr w:type="gramStart"/>
            <w:r w:rsidRPr="00051252">
              <w:rPr>
                <w:rFonts w:ascii="Calibri" w:hAnsi="Calibri" w:cs="Calibri"/>
                <w:color w:val="000000" w:themeColor="text1"/>
                <w:sz w:val="19"/>
                <w:szCs w:val="19"/>
              </w:rPr>
              <w:t>competition</w:t>
            </w:r>
            <w:proofErr w:type="gramEnd"/>
            <w:r w:rsidRPr="00051252">
              <w:rPr>
                <w:rFonts w:ascii="Calibri" w:hAnsi="Calibri" w:cs="Calibri"/>
                <w:color w:val="000000" w:themeColor="text1"/>
                <w:sz w:val="19"/>
                <w:szCs w:val="19"/>
              </w:rPr>
              <w:t xml:space="preserve"> instead of celebration</w:t>
            </w:r>
          </w:p>
        </w:tc>
      </w:tr>
      <w:tr w:rsidR="00051252" w:rsidRPr="00051252" w14:paraId="0387579A"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2917D6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Ensure equitable recognition across all departments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285011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Wait too long — recognize promptly</w:t>
            </w:r>
          </w:p>
        </w:tc>
      </w:tr>
    </w:tbl>
    <w:p w14:paraId="7A3861AB" w14:textId="77777777" w:rsidR="006032A1" w:rsidRPr="00051252" w:rsidRDefault="006032A1" w:rsidP="009913EF">
      <w:pPr>
        <w:rPr>
          <w:rFonts w:ascii="Calibri" w:hAnsi="Calibri" w:cs="Calibri"/>
          <w:color w:val="000000" w:themeColor="text1"/>
        </w:rPr>
      </w:pPr>
    </w:p>
    <w:tbl>
      <w:tblPr>
        <w:tblpPr w:leftFromText="180" w:rightFromText="180" w:vertAnchor="text" w:horzAnchor="margin" w:tblpY="-56"/>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0420DC79"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3036E68E"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4537AE27"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an employee spotlight announcement for [Employee Name], a teller who identified a potential elder financial exploitation situation, followed the bank’s reporting procedures, and helped protect a vulnerable customer. This should be shared internally via email. Celebrate both their vigilance and their compassion. Connect to the bank’s values of community protection and doing the right thing.</w:t>
            </w:r>
          </w:p>
        </w:tc>
      </w:tr>
    </w:tbl>
    <w:p w14:paraId="05C90F4D" w14:textId="77777777" w:rsidR="00486778" w:rsidRDefault="00486778" w:rsidP="009913EF">
      <w:pPr>
        <w:rPr>
          <w:rFonts w:ascii="Calibri" w:hAnsi="Calibri" w:cs="Calibri"/>
          <w:b/>
          <w:bCs/>
          <w:color w:val="C00000"/>
          <w:sz w:val="24"/>
          <w:szCs w:val="24"/>
        </w:rPr>
      </w:pPr>
      <w:r>
        <w:br w:type="page"/>
      </w:r>
    </w:p>
    <w:p w14:paraId="28976CC4" w14:textId="67C182F0" w:rsidR="006032A1" w:rsidRPr="00051252" w:rsidRDefault="003F549C" w:rsidP="009913EF">
      <w:pPr>
        <w:pStyle w:val="Heading1"/>
      </w:pPr>
      <w:bookmarkStart w:id="19" w:name="_Toc222209527"/>
      <w:proofErr w:type="gramStart"/>
      <w:r w:rsidRPr="00051252">
        <w:lastRenderedPageBreak/>
        <w:t>New Hire</w:t>
      </w:r>
      <w:proofErr w:type="gramEnd"/>
      <w:r w:rsidRPr="00051252">
        <w:t xml:space="preserve"> Onboarding Communications</w:t>
      </w:r>
      <w:bookmarkEnd w:id="1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693FC5E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43465AE"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92DB32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Welcome new employees, provide essential first-day information, and set them up for success with clear expectations and a sense of belonging.</w:t>
            </w:r>
          </w:p>
        </w:tc>
      </w:tr>
      <w:tr w:rsidR="00051252" w:rsidRPr="00051252" w14:paraId="3676D05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E98E33F"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A52D30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Welcoming, organized, and enthusiastic. New hires are nervous — make them feel expected and valued. Be practical about logistics but warm about culture. Show that you’re prepared for their arrival.</w:t>
            </w:r>
          </w:p>
        </w:tc>
      </w:tr>
      <w:tr w:rsidR="00051252" w:rsidRPr="00051252" w14:paraId="2938A3C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72486A9"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F4EB31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Welcome message from manager or CEO; first day logistics (time, location, parking, dress code, what to bring); first week schedule; team introductions; IT setup instructions; required training timeline; mentor or buddy assignment; key policies to review; benefits enrollment deadlines.</w:t>
            </w:r>
          </w:p>
        </w:tc>
      </w:tr>
      <w:tr w:rsidR="00051252" w:rsidRPr="00051252" w14:paraId="2EA780E7"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CF04596"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8AA771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Include required compliance training timelines (BSA/AML, information security, fair lending, HMDA, etc.). Ensure I-9 and other employment documentation is completed within required timeframes. Follow EEOC guidelines in all communications. Distribute employee </w:t>
            </w:r>
            <w:proofErr w:type="gramStart"/>
            <w:r w:rsidRPr="00051252">
              <w:rPr>
                <w:rFonts w:ascii="Calibri" w:hAnsi="Calibri" w:cs="Calibri"/>
                <w:color w:val="000000" w:themeColor="text1"/>
                <w:sz w:val="20"/>
                <w:szCs w:val="20"/>
              </w:rPr>
              <w:t>handbook</w:t>
            </w:r>
            <w:proofErr w:type="gramEnd"/>
            <w:r w:rsidRPr="00051252">
              <w:rPr>
                <w:rFonts w:ascii="Calibri" w:hAnsi="Calibri" w:cs="Calibri"/>
                <w:color w:val="000000" w:themeColor="text1"/>
                <w:sz w:val="20"/>
                <w:szCs w:val="20"/>
              </w:rPr>
              <w:t xml:space="preserve"> and obtain acknowledgment.</w:t>
            </w:r>
          </w:p>
        </w:tc>
      </w:tr>
    </w:tbl>
    <w:p w14:paraId="6B08E5B2" w14:textId="77777777" w:rsidR="006032A1" w:rsidRPr="00051252" w:rsidRDefault="006032A1" w:rsidP="009913EF">
      <w:pPr>
        <w:rPr>
          <w:rFonts w:ascii="Calibri" w:hAnsi="Calibri" w:cs="Calibri"/>
          <w:color w:val="000000" w:themeColor="text1"/>
        </w:rPr>
      </w:pPr>
    </w:p>
    <w:p w14:paraId="58714C0B" w14:textId="77777777" w:rsidR="006032A1" w:rsidRPr="00051252" w:rsidRDefault="006032A1" w:rsidP="009913EF">
      <w:pPr>
        <w:rPr>
          <w:rFonts w:ascii="Calibri" w:hAnsi="Calibri" w:cs="Calibri"/>
          <w:color w:val="000000" w:themeColor="text1"/>
        </w:rPr>
      </w:pPr>
    </w:p>
    <w:p w14:paraId="0D7F1F5C"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7BCCB04E"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60E2CC56" w14:textId="06DE222D"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77C5D6C1" w14:textId="691F3647"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4921313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694ACD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the new hire feel expected and valued</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0B70AA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Overwhelm with information on the first day</w:t>
            </w:r>
          </w:p>
        </w:tc>
      </w:tr>
      <w:tr w:rsidR="00051252" w:rsidRPr="00051252" w14:paraId="5E15F0FD"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96AD95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Front-load essential logistics for day one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31F97F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Skip introductions to key team members</w:t>
            </w:r>
          </w:p>
        </w:tc>
      </w:tr>
      <w:tr w:rsidR="00051252" w:rsidRPr="00051252" w14:paraId="5099CF22"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ACB0955"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color w:val="000000" w:themeColor="text1"/>
                <w:sz w:val="19"/>
                <w:szCs w:val="19"/>
              </w:rPr>
              <w:t>Assign</w:t>
            </w:r>
            <w:proofErr w:type="gramEnd"/>
            <w:r w:rsidRPr="00051252">
              <w:rPr>
                <w:rFonts w:ascii="Calibri" w:hAnsi="Calibri" w:cs="Calibri"/>
                <w:color w:val="000000" w:themeColor="text1"/>
                <w:sz w:val="19"/>
                <w:szCs w:val="19"/>
              </w:rPr>
              <w:t xml:space="preserve"> a buddy or mentor for the first month</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A31B92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Delay IT setup that prevents them from working</w:t>
            </w:r>
          </w:p>
        </w:tc>
      </w:tr>
      <w:tr w:rsidR="00051252" w:rsidRPr="00051252" w14:paraId="45CBE2CF"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7AC38B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Break training requirements into a manageable timeline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509D8B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Assume they know institutional acronyms or processes</w:t>
            </w:r>
          </w:p>
        </w:tc>
      </w:tr>
      <w:tr w:rsidR="00051252" w:rsidRPr="00051252" w14:paraId="5B9A95F3"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9C9027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both practical and cultural information</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F70F60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Forget to follow up after the first week</w:t>
            </w:r>
          </w:p>
        </w:tc>
      </w:tr>
    </w:tbl>
    <w:tbl>
      <w:tblPr>
        <w:tblpPr w:leftFromText="180" w:rightFromText="180" w:vertAnchor="text" w:horzAnchor="margin" w:tblpY="144"/>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15F832EC"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0CC22B51"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1004748E"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 xml:space="preserve">Write a welcome email from the IT department to a new hire starting next Monday. Cover: </w:t>
            </w:r>
            <w:proofErr w:type="gramStart"/>
            <w:r w:rsidRPr="00051252">
              <w:rPr>
                <w:rFonts w:ascii="Calibri" w:eastAsia="Consolas" w:hAnsi="Calibri" w:cs="Calibri"/>
                <w:i/>
                <w:iCs/>
                <w:color w:val="000000" w:themeColor="text1"/>
                <w:sz w:val="19"/>
                <w:szCs w:val="19"/>
              </w:rPr>
              <w:t>laptop</w:t>
            </w:r>
            <w:proofErr w:type="gramEnd"/>
            <w:r w:rsidRPr="00051252">
              <w:rPr>
                <w:rFonts w:ascii="Calibri" w:eastAsia="Consolas" w:hAnsi="Calibri" w:cs="Calibri"/>
                <w:i/>
                <w:iCs/>
                <w:color w:val="000000" w:themeColor="text1"/>
                <w:sz w:val="19"/>
                <w:szCs w:val="19"/>
              </w:rPr>
              <w:t xml:space="preserve"> will be ready at their desk, how to set up network credentials, required cybersecurity awareness training (</w:t>
            </w:r>
            <w:proofErr w:type="gramStart"/>
            <w:r w:rsidRPr="00051252">
              <w:rPr>
                <w:rFonts w:ascii="Calibri" w:eastAsia="Consolas" w:hAnsi="Calibri" w:cs="Calibri"/>
                <w:i/>
                <w:iCs/>
                <w:color w:val="000000" w:themeColor="text1"/>
                <w:sz w:val="19"/>
                <w:szCs w:val="19"/>
              </w:rPr>
              <w:t>due</w:t>
            </w:r>
            <w:proofErr w:type="gramEnd"/>
            <w:r w:rsidRPr="00051252">
              <w:rPr>
                <w:rFonts w:ascii="Calibri" w:eastAsia="Consolas" w:hAnsi="Calibri" w:cs="Calibri"/>
                <w:i/>
                <w:iCs/>
                <w:color w:val="000000" w:themeColor="text1"/>
                <w:sz w:val="19"/>
                <w:szCs w:val="19"/>
              </w:rPr>
              <w:t xml:space="preserve"> within 7 days), who to contact for tech support, overview of approved software and AI tools, and a friendly note about the IT team’s open-door culture.</w:t>
            </w:r>
          </w:p>
        </w:tc>
      </w:tr>
    </w:tbl>
    <w:p w14:paraId="5477626B" w14:textId="77777777" w:rsidR="006032A1" w:rsidRPr="00051252" w:rsidRDefault="006032A1" w:rsidP="009913EF">
      <w:pPr>
        <w:rPr>
          <w:rFonts w:ascii="Calibri" w:hAnsi="Calibri" w:cs="Calibri"/>
          <w:color w:val="000000" w:themeColor="text1"/>
        </w:rPr>
      </w:pPr>
    </w:p>
    <w:p w14:paraId="7C8CB49B" w14:textId="77777777" w:rsidR="001D5D5F" w:rsidRDefault="001D5D5F" w:rsidP="009913EF">
      <w:pPr>
        <w:rPr>
          <w:rFonts w:ascii="Calibri" w:hAnsi="Calibri" w:cs="Calibri"/>
          <w:b/>
          <w:bCs/>
          <w:color w:val="C00000"/>
          <w:sz w:val="24"/>
          <w:szCs w:val="24"/>
        </w:rPr>
      </w:pPr>
      <w:r>
        <w:br w:type="page"/>
      </w:r>
    </w:p>
    <w:p w14:paraId="52B5335D" w14:textId="599D2476" w:rsidR="006032A1" w:rsidRPr="00051252" w:rsidRDefault="003F549C" w:rsidP="009913EF">
      <w:pPr>
        <w:pStyle w:val="Heading1"/>
      </w:pPr>
      <w:bookmarkStart w:id="20" w:name="_Toc222209528"/>
      <w:r w:rsidRPr="00051252">
        <w:lastRenderedPageBreak/>
        <w:t>CRA (Community Reinvestment Act) Narratives</w:t>
      </w:r>
      <w:bookmarkEnd w:id="2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6B9BA971"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C805DE4"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39EBBE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Document the bank’s community development activities, lending performance, and community engagement for CRA examination and public file requirements.</w:t>
            </w:r>
          </w:p>
        </w:tc>
      </w:tr>
      <w:tr w:rsidR="00051252" w:rsidRPr="00051252" w14:paraId="19B2A1DB"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DC03F0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33F97E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Factual, impact-focused, and community-centered. Quantify impact wherever possible. Tell the story of how the bank’s activities benefit low- and moderate-income individuals and communities. Be thorough but not repetitive.</w:t>
            </w:r>
          </w:p>
        </w:tc>
      </w:tr>
      <w:tr w:rsidR="00051252" w:rsidRPr="00051252" w14:paraId="526BBAA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74F7FF7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911295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Activity description with CRA-qualifying purpose; geographic area and assessment area relevance; dollar amounts, number of participants, or units; low- and moderate-</w:t>
            </w:r>
            <w:proofErr w:type="gramStart"/>
            <w:r w:rsidRPr="00051252">
              <w:rPr>
                <w:rFonts w:ascii="Calibri" w:hAnsi="Calibri" w:cs="Calibri"/>
                <w:color w:val="000000" w:themeColor="text1"/>
                <w:sz w:val="20"/>
                <w:szCs w:val="20"/>
              </w:rPr>
              <w:t>income benefit</w:t>
            </w:r>
            <w:proofErr w:type="gramEnd"/>
            <w:r w:rsidRPr="00051252">
              <w:rPr>
                <w:rFonts w:ascii="Calibri" w:hAnsi="Calibri" w:cs="Calibri"/>
                <w:color w:val="000000" w:themeColor="text1"/>
                <w:sz w:val="20"/>
                <w:szCs w:val="20"/>
              </w:rPr>
              <w:t xml:space="preserve"> documentation; innovation or complexity factors; responsiveness to community needs; partnerships with community organizations; photos or supporting documentation references.</w:t>
            </w:r>
          </w:p>
        </w:tc>
      </w:tr>
      <w:tr w:rsidR="00051252" w:rsidRPr="00051252" w14:paraId="55FD9084"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9E4A6E3"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3E2FC8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CRITICAL COMPLIANCE AREA. Align narratives with CRA examination procedures and the specific CRA performance tests applicable to the bank’s asset size. Document qualified activities under the correct test (lending, investment, service). Ensure geographic analysis matches assessment areas. Maintain complete CRA public file.</w:t>
            </w:r>
          </w:p>
        </w:tc>
      </w:tr>
    </w:tbl>
    <w:p w14:paraId="7B9E05DF" w14:textId="77777777" w:rsidR="006032A1" w:rsidRPr="00051252" w:rsidRDefault="006032A1" w:rsidP="009913EF">
      <w:pPr>
        <w:rPr>
          <w:rFonts w:ascii="Calibri" w:hAnsi="Calibri" w:cs="Calibri"/>
          <w:color w:val="000000" w:themeColor="text1"/>
        </w:rPr>
      </w:pPr>
    </w:p>
    <w:p w14:paraId="0C608CF9" w14:textId="77777777" w:rsidR="006032A1" w:rsidRPr="00051252" w:rsidRDefault="006032A1" w:rsidP="009913EF">
      <w:pPr>
        <w:rPr>
          <w:rFonts w:ascii="Calibri" w:hAnsi="Calibri" w:cs="Calibri"/>
          <w:color w:val="000000" w:themeColor="text1"/>
        </w:rPr>
      </w:pPr>
    </w:p>
    <w:p w14:paraId="6F0CF728"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54C67220"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5F72BD67" w14:textId="1687E3B0"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4FD90CA2" w14:textId="52499198"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5052C677"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C15163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Quantify all activities with specific numbers and dollars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001CE4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Overstate impact or include non-qualifying activities</w:t>
            </w:r>
          </w:p>
        </w:tc>
      </w:tr>
      <w:tr w:rsidR="00051252" w:rsidRPr="00051252" w14:paraId="420C2FC1"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1294B32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Connect activities to documented community needs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DAA870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Fail to connect activities to assessment area needs</w:t>
            </w:r>
          </w:p>
        </w:tc>
      </w:tr>
      <w:tr w:rsidR="00051252" w:rsidRPr="00051252" w14:paraId="765DB011"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890C8C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Identify the CRA-qualifying purpose clearly</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572F64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vague language without supporting data</w:t>
            </w:r>
          </w:p>
        </w:tc>
      </w:tr>
      <w:tr w:rsidR="00051252" w:rsidRPr="00051252" w14:paraId="5E578B1B"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3386C92"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 xml:space="preserve">Document LMI </w:t>
            </w:r>
            <w:proofErr w:type="gramStart"/>
            <w:r w:rsidRPr="00051252">
              <w:rPr>
                <w:rFonts w:ascii="Calibri" w:hAnsi="Calibri" w:cs="Calibri"/>
                <w:color w:val="000000" w:themeColor="text1"/>
                <w:sz w:val="19"/>
                <w:szCs w:val="19"/>
              </w:rPr>
              <w:t>benefit</w:t>
            </w:r>
            <w:proofErr w:type="gramEnd"/>
            <w:r w:rsidRPr="00051252">
              <w:rPr>
                <w:rFonts w:ascii="Calibri" w:hAnsi="Calibri" w:cs="Calibri"/>
                <w:color w:val="000000" w:themeColor="text1"/>
                <w:sz w:val="19"/>
                <w:szCs w:val="19"/>
              </w:rPr>
              <w:t xml:space="preserve"> with census tract data</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6A9E23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Neglect to document activities throughout the year</w:t>
            </w:r>
          </w:p>
        </w:tc>
      </w:tr>
      <w:tr w:rsidR="00051252" w:rsidRPr="00051252" w14:paraId="11142DF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F806DB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innovation, complexity, and responsiveness factors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CFDD65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Wait until exam time to compile narratives</w:t>
            </w:r>
          </w:p>
        </w:tc>
      </w:tr>
    </w:tbl>
    <w:tbl>
      <w:tblPr>
        <w:tblpPr w:leftFromText="180" w:rightFromText="180" w:vertAnchor="text" w:horzAnchor="margin" w:tblpY="80"/>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3F8CE185"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2477F408"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28D99DF1"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CRA narrative for the bank’s partnership with Habitat for Humanity to build 5 affordable homes in an LMI census tract. Include: $250,000 in below-market-rate construction financing, 150 employee volunteer hours, homebuyer financial literacy workshops serving 30 families, and ongoing mortgage servicing. Connect to identified community needs from the most recent needs assessment.</w:t>
            </w:r>
          </w:p>
        </w:tc>
      </w:tr>
    </w:tbl>
    <w:p w14:paraId="4E34CB60" w14:textId="77777777" w:rsidR="006032A1" w:rsidRPr="00051252" w:rsidRDefault="006032A1" w:rsidP="009913EF">
      <w:pPr>
        <w:rPr>
          <w:rFonts w:ascii="Calibri" w:hAnsi="Calibri" w:cs="Calibri"/>
          <w:color w:val="000000" w:themeColor="text1"/>
        </w:rPr>
      </w:pPr>
    </w:p>
    <w:p w14:paraId="4DB62B2F" w14:textId="77777777" w:rsidR="001D5D5F" w:rsidRDefault="001D5D5F" w:rsidP="009913EF">
      <w:pPr>
        <w:rPr>
          <w:rFonts w:ascii="Calibri" w:hAnsi="Calibri" w:cs="Calibri"/>
          <w:b/>
          <w:bCs/>
          <w:color w:val="C00000"/>
          <w:sz w:val="24"/>
          <w:szCs w:val="24"/>
        </w:rPr>
      </w:pPr>
      <w:r>
        <w:br w:type="page"/>
      </w:r>
    </w:p>
    <w:p w14:paraId="584CAA5D" w14:textId="3CF9942C" w:rsidR="006032A1" w:rsidRPr="00051252" w:rsidRDefault="003F549C" w:rsidP="009913EF">
      <w:pPr>
        <w:pStyle w:val="Heading1"/>
      </w:pPr>
      <w:bookmarkStart w:id="21" w:name="_Toc222209529"/>
      <w:r w:rsidRPr="00051252">
        <w:lastRenderedPageBreak/>
        <w:t>Annual Report &amp; Shareholder Narratives</w:t>
      </w:r>
      <w:bookmarkEnd w:id="2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6E54BE5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0308F26"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31F064B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Craft compelling narrative sections for the annual report that tell the bank’s story, highlight performance, and articulate strategic vision to shareholders and the community.</w:t>
            </w:r>
          </w:p>
        </w:tc>
      </w:tr>
      <w:tr w:rsidR="00051252" w:rsidRPr="00051252" w14:paraId="525FE09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417AF41"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BAB36B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Confident, forward-looking, and authentic. Balance optimism with honesty. Shareholders and community members deserve a clear picture of performance and strategy. Community banks should emphasize their unique value proposition.</w:t>
            </w:r>
          </w:p>
        </w:tc>
      </w:tr>
      <w:tr w:rsidR="00051252" w:rsidRPr="00051252" w14:paraId="7CB09BE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43385C05"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42F111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Letter from the President/CEO; financial performance highlights with year-over-year comparisons; strategic initiative updates; community impact stories; employee highlights; technology and innovation investments; risk management overview; forward-looking statements (with appropriate disclaimers); board and leadership recognition.</w:t>
            </w:r>
          </w:p>
        </w:tc>
      </w:tr>
      <w:tr w:rsidR="00051252" w:rsidRPr="00051252" w14:paraId="1524FC0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E5A4F0E"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0997870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Forward-looking statements require safe harbor disclaimers. Financial data must be consistent with call report filings. Follow SEC requirements if applicable. Ensure fair and balanced representation of performance, including challenges. Photos require releases.</w:t>
            </w:r>
          </w:p>
        </w:tc>
      </w:tr>
    </w:tbl>
    <w:p w14:paraId="46E66201" w14:textId="77777777" w:rsidR="006032A1" w:rsidRPr="00051252" w:rsidRDefault="006032A1" w:rsidP="009913EF">
      <w:pPr>
        <w:rPr>
          <w:rFonts w:ascii="Calibri" w:hAnsi="Calibri" w:cs="Calibri"/>
          <w:color w:val="000000" w:themeColor="text1"/>
        </w:rPr>
      </w:pPr>
    </w:p>
    <w:p w14:paraId="4D2E8CC1" w14:textId="77777777" w:rsidR="006032A1" w:rsidRPr="00051252" w:rsidRDefault="006032A1" w:rsidP="009913EF">
      <w:pPr>
        <w:rPr>
          <w:rFonts w:ascii="Calibri" w:hAnsi="Calibri" w:cs="Calibri"/>
          <w:color w:val="000000" w:themeColor="text1"/>
        </w:rPr>
      </w:pPr>
    </w:p>
    <w:p w14:paraId="0DDAA088"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176B118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174D41C6" w14:textId="274040F9"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09E0FD88" w14:textId="5CD5DA30"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1AFCD625"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18BB6E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Tell specific stories that illustrate the bank’s impact</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7F41CA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Present an unrealistically rosy picture</w:t>
            </w:r>
          </w:p>
        </w:tc>
      </w:tr>
      <w:tr w:rsidR="00051252" w:rsidRPr="00051252" w14:paraId="41496521"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0AFF85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honest assessment of challenges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9D73CE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generic language that could describe any bank</w:t>
            </w:r>
          </w:p>
        </w:tc>
      </w:tr>
      <w:tr w:rsidR="00051252" w:rsidRPr="00051252" w14:paraId="43AE0D79"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7B987B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concrete data to support performance claims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3976FE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Omit material challenges or risks</w:t>
            </w:r>
          </w:p>
        </w:tc>
      </w:tr>
      <w:tr w:rsidR="00051252" w:rsidRPr="00051252" w14:paraId="59C41AB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747B92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Connect financial performance to community mission</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596804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unverified financial claims</w:t>
            </w:r>
          </w:p>
        </w:tc>
      </w:tr>
      <w:tr w:rsidR="00051252" w:rsidRPr="00051252" w14:paraId="59574E70"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53414F58"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forward-looking statement disclaimers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B8DC8A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Forget required legal disclaimers</w:t>
            </w:r>
          </w:p>
        </w:tc>
      </w:tr>
    </w:tbl>
    <w:tbl>
      <w:tblPr>
        <w:tblpPr w:leftFromText="180" w:rightFromText="180" w:vertAnchor="text" w:horzAnchor="margin" w:tblpY="144"/>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3CA45A6D"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50163746"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7F53605A"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the CEO’s letter for [Bank Name]’s annual report. Highlights: 8% loan growth, new mobile banking platform launch, expansion into commercial lending, 95% customer satisfaction score, $150,000 in community donations. Challenges: NIM compression, competitive deposit market. Theme should be “growing stronger together” — emphasizing that the bank’s strength comes from its community roots. Include forward-looking statement disclaimer.</w:t>
            </w:r>
          </w:p>
        </w:tc>
      </w:tr>
    </w:tbl>
    <w:p w14:paraId="0568F921" w14:textId="77777777" w:rsidR="006032A1" w:rsidRPr="00051252" w:rsidRDefault="006032A1" w:rsidP="009913EF">
      <w:pPr>
        <w:rPr>
          <w:rFonts w:ascii="Calibri" w:hAnsi="Calibri" w:cs="Calibri"/>
          <w:color w:val="000000" w:themeColor="text1"/>
        </w:rPr>
      </w:pPr>
    </w:p>
    <w:p w14:paraId="7BFFDA10" w14:textId="77777777" w:rsidR="001D5D5F" w:rsidRDefault="001D5D5F" w:rsidP="009913EF">
      <w:pPr>
        <w:rPr>
          <w:rFonts w:ascii="Calibri" w:hAnsi="Calibri" w:cs="Calibri"/>
          <w:b/>
          <w:bCs/>
          <w:color w:val="C00000"/>
          <w:sz w:val="24"/>
          <w:szCs w:val="24"/>
        </w:rPr>
      </w:pPr>
      <w:r>
        <w:br w:type="page"/>
      </w:r>
    </w:p>
    <w:p w14:paraId="16A7A900" w14:textId="60A383B0" w:rsidR="006032A1" w:rsidRPr="00051252" w:rsidRDefault="003F549C" w:rsidP="009913EF">
      <w:pPr>
        <w:pStyle w:val="Heading1"/>
      </w:pPr>
      <w:bookmarkStart w:id="22" w:name="_Toc222209530"/>
      <w:r w:rsidRPr="00051252">
        <w:lastRenderedPageBreak/>
        <w:t>New Product/Service Launch Announcements</w:t>
      </w:r>
      <w:bookmarkEnd w:id="2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6C01453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390B0FD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86C40DD"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Introduce new products or services to customers and the community with clear value propositions, practical information, and genuine enthusiasm.</w:t>
            </w:r>
          </w:p>
        </w:tc>
      </w:tr>
      <w:tr w:rsidR="00051252" w:rsidRPr="00051252" w14:paraId="4626DB5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07C9FED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6B4160A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Excited but informative. Lead with the customer benefit, not the feature. Make it easy to understand who this is for and how to get started. Community banks should emphasize that new products come from listening to customer needs.</w:t>
            </w:r>
          </w:p>
        </w:tc>
      </w:tr>
      <w:tr w:rsidR="00051252" w:rsidRPr="00051252" w14:paraId="75550F5C"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BBA44D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13EFE5F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Product/service name and description; key benefits (customer-focused, not feature-focused); who it’s designed for; how to sign up or get started; pricing/fee information; availability date; FAQ for common questions; contact for more information; introductory offers (with terms and conditions).</w:t>
            </w:r>
          </w:p>
        </w:tc>
      </w:tr>
      <w:tr w:rsidR="00051252" w:rsidRPr="00051252" w14:paraId="554081D4"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B3B413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0B40EFE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All product marketing must comply with TILA (Reg Z), TISA (Reg DD), and UDAAP. Include required disclosures for deposit and lending products. Rate advertisements must include APY/APR with required disclosures. Ensure fair lending compliance </w:t>
            </w:r>
            <w:proofErr w:type="gramStart"/>
            <w:r w:rsidRPr="00051252">
              <w:rPr>
                <w:rFonts w:ascii="Calibri" w:hAnsi="Calibri" w:cs="Calibri"/>
                <w:color w:val="000000" w:themeColor="text1"/>
                <w:sz w:val="20"/>
                <w:szCs w:val="20"/>
              </w:rPr>
              <w:t>in</w:t>
            </w:r>
            <w:proofErr w:type="gramEnd"/>
            <w:r w:rsidRPr="00051252">
              <w:rPr>
                <w:rFonts w:ascii="Calibri" w:hAnsi="Calibri" w:cs="Calibri"/>
                <w:color w:val="000000" w:themeColor="text1"/>
                <w:sz w:val="20"/>
                <w:szCs w:val="20"/>
              </w:rPr>
              <w:t xml:space="preserve"> marketing materials and distribution.</w:t>
            </w:r>
          </w:p>
        </w:tc>
      </w:tr>
    </w:tbl>
    <w:p w14:paraId="26C18719" w14:textId="77777777" w:rsidR="006032A1" w:rsidRPr="00051252" w:rsidRDefault="006032A1" w:rsidP="009913EF">
      <w:pPr>
        <w:rPr>
          <w:rFonts w:ascii="Calibri" w:hAnsi="Calibri" w:cs="Calibri"/>
          <w:color w:val="000000" w:themeColor="text1"/>
        </w:rPr>
      </w:pPr>
    </w:p>
    <w:p w14:paraId="703DBAD6" w14:textId="77777777" w:rsidR="006032A1" w:rsidRPr="00051252" w:rsidRDefault="006032A1" w:rsidP="009913EF">
      <w:pPr>
        <w:rPr>
          <w:rFonts w:ascii="Calibri" w:hAnsi="Calibri" w:cs="Calibri"/>
          <w:color w:val="000000" w:themeColor="text1"/>
        </w:rPr>
      </w:pPr>
    </w:p>
    <w:p w14:paraId="0B35A6B8"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4"/>
        <w:gridCol w:w="4685"/>
      </w:tblGrid>
      <w:tr w:rsidR="00051252" w:rsidRPr="00051252" w14:paraId="68CC16D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2449A7CE" w14:textId="6BA7E0AA"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38B73DD6" w14:textId="584B8DE9"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27FE70AC"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894A5E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Lead with the customer problem being solved</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9AE1F9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Launch without complete regulatory disclosures</w:t>
            </w:r>
          </w:p>
        </w:tc>
      </w:tr>
      <w:tr w:rsidR="00051252" w:rsidRPr="00051252" w14:paraId="03E45987"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67352C5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Explain benefits in plain language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DF38FE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Over-promise on product capabilities</w:t>
            </w:r>
          </w:p>
        </w:tc>
      </w:tr>
      <w:tr w:rsidR="00051252" w:rsidRPr="00051252" w14:paraId="6AA73CA4"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A4B43F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Include all required regulatory disclosures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47B5636"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Use bait-and-switch promotional terms</w:t>
            </w:r>
          </w:p>
        </w:tc>
      </w:tr>
      <w:tr w:rsidR="00051252" w:rsidRPr="00051252" w14:paraId="666AB492"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2CCE566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clear path to enrollment or sign-up</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2D5FD7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Neglect to train staff before customer announcement</w:t>
            </w:r>
          </w:p>
        </w:tc>
      </w:tr>
      <w:tr w:rsidR="00051252" w:rsidRPr="00051252" w14:paraId="72354E26" w14:textId="77777777" w:rsidTr="00650B4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69E312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Test messaging with front-line staff before launch</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DD0E6D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Market differently to different demographic groups</w:t>
            </w:r>
          </w:p>
        </w:tc>
      </w:tr>
    </w:tbl>
    <w:tbl>
      <w:tblPr>
        <w:tblpPr w:leftFromText="180" w:rightFromText="180" w:vertAnchor="text" w:horzAnchor="margin" w:tblpY="174"/>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074237BD"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6E6A355A"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7B8DBABF"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launch announcement for a new high-yield savings account. Rate: 4.00% APY on balances over $1,000, 0.50% APY below $1,000. No monthly fee with $100 minimum balance. Available to existing and new customers. Position as “we listened to what you needed” and highlight it was developed based on customer feedback. Include Reg DD disclosures.</w:t>
            </w:r>
          </w:p>
        </w:tc>
      </w:tr>
    </w:tbl>
    <w:p w14:paraId="02040BE8" w14:textId="77777777" w:rsidR="006032A1" w:rsidRPr="00051252" w:rsidRDefault="006032A1" w:rsidP="009913EF">
      <w:pPr>
        <w:rPr>
          <w:rFonts w:ascii="Calibri" w:hAnsi="Calibri" w:cs="Calibri"/>
          <w:color w:val="000000" w:themeColor="text1"/>
        </w:rPr>
      </w:pPr>
    </w:p>
    <w:p w14:paraId="2066AEB7" w14:textId="77777777" w:rsidR="001D5D5F" w:rsidRDefault="001D5D5F" w:rsidP="009913EF">
      <w:pPr>
        <w:rPr>
          <w:rFonts w:ascii="Calibri" w:hAnsi="Calibri" w:cs="Calibri"/>
          <w:b/>
          <w:bCs/>
          <w:color w:val="C00000"/>
          <w:sz w:val="24"/>
          <w:szCs w:val="24"/>
        </w:rPr>
      </w:pPr>
      <w:r>
        <w:br w:type="page"/>
      </w:r>
    </w:p>
    <w:p w14:paraId="4EB6B2A2" w14:textId="215DA3EE" w:rsidR="006032A1" w:rsidRPr="00051252" w:rsidRDefault="003F549C" w:rsidP="009913EF">
      <w:pPr>
        <w:pStyle w:val="Heading1"/>
      </w:pPr>
      <w:bookmarkStart w:id="23" w:name="_Toc222209531"/>
      <w:r w:rsidRPr="00051252">
        <w:lastRenderedPageBreak/>
        <w:t>Internal Audit Finding Responses</w:t>
      </w:r>
      <w:bookmarkEnd w:id="2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0C72ABB0"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1EFBF2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5850DE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Respond to internal audit findings with clear acknowledgment, root cause analysis, corrective action plans, and realistic timelines that demonstrate management accountability.</w:t>
            </w:r>
          </w:p>
        </w:tc>
      </w:tr>
      <w:tr w:rsidR="00051252" w:rsidRPr="00051252" w14:paraId="6744C12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63139E8"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987513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Professional, accountable, and </w:t>
            </w:r>
            <w:proofErr w:type="gramStart"/>
            <w:r w:rsidRPr="00051252">
              <w:rPr>
                <w:rFonts w:ascii="Calibri" w:hAnsi="Calibri" w:cs="Calibri"/>
                <w:color w:val="000000" w:themeColor="text1"/>
                <w:sz w:val="20"/>
                <w:szCs w:val="20"/>
              </w:rPr>
              <w:t>action-oriented</w:t>
            </w:r>
            <w:proofErr w:type="gramEnd"/>
            <w:r w:rsidRPr="00051252">
              <w:rPr>
                <w:rFonts w:ascii="Calibri" w:hAnsi="Calibri" w:cs="Calibri"/>
                <w:color w:val="000000" w:themeColor="text1"/>
                <w:sz w:val="20"/>
                <w:szCs w:val="20"/>
              </w:rPr>
              <w:t>. Audit findings aren’t personal attacks — they’re opportunities to strengthen controls. Respond with maturity and specificity. Vague responses create more questions.</w:t>
            </w:r>
          </w:p>
        </w:tc>
      </w:tr>
      <w:tr w:rsidR="00051252" w:rsidRPr="00051252" w14:paraId="4FEB9BC8"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3B35BF2"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2DB3E2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Finding reference number; acknowledgment or disagreement (with supporting rationale); root cause analysis; corrective action plan with specific steps; responsible party for each action; target completion dates; interim controls if applicable; evidence of completion to be provided.</w:t>
            </w:r>
          </w:p>
        </w:tc>
      </w:tr>
      <w:tr w:rsidR="00051252" w:rsidRPr="00051252" w14:paraId="56A8ACDF"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CC4240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2BA7926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Audit responses become part of the permanent governance record and may be reviewed by regulators. Ensure corrective actions </w:t>
            </w:r>
            <w:proofErr w:type="gramStart"/>
            <w:r w:rsidRPr="00051252">
              <w:rPr>
                <w:rFonts w:ascii="Calibri" w:hAnsi="Calibri" w:cs="Calibri"/>
                <w:color w:val="000000" w:themeColor="text1"/>
                <w:sz w:val="20"/>
                <w:szCs w:val="20"/>
              </w:rPr>
              <w:t>actually address</w:t>
            </w:r>
            <w:proofErr w:type="gramEnd"/>
            <w:r w:rsidRPr="00051252">
              <w:rPr>
                <w:rFonts w:ascii="Calibri" w:hAnsi="Calibri" w:cs="Calibri"/>
                <w:color w:val="000000" w:themeColor="text1"/>
                <w:sz w:val="20"/>
                <w:szCs w:val="20"/>
              </w:rPr>
              <w:t xml:space="preserve"> the root cause, not just the symptom. Realistic timelines are better than aggressive ones you’ll miss. Track all findings through closure and validation.</w:t>
            </w:r>
          </w:p>
        </w:tc>
      </w:tr>
    </w:tbl>
    <w:p w14:paraId="1FFCC1FA" w14:textId="77777777" w:rsidR="006032A1" w:rsidRPr="00051252" w:rsidRDefault="006032A1" w:rsidP="009913EF">
      <w:pPr>
        <w:rPr>
          <w:rFonts w:ascii="Calibri" w:hAnsi="Calibri" w:cs="Calibri"/>
          <w:color w:val="000000" w:themeColor="text1"/>
        </w:rPr>
      </w:pPr>
    </w:p>
    <w:p w14:paraId="4AF21535" w14:textId="77777777" w:rsidR="006032A1" w:rsidRPr="00051252" w:rsidRDefault="006032A1" w:rsidP="009913EF">
      <w:pPr>
        <w:rPr>
          <w:rFonts w:ascii="Calibri" w:hAnsi="Calibri" w:cs="Calibri"/>
          <w:color w:val="000000" w:themeColor="text1"/>
        </w:rPr>
      </w:pPr>
    </w:p>
    <w:p w14:paraId="4424826C"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2DF3747F"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47AC3FDA" w14:textId="41A76E46"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361A6723" w14:textId="615AFFF0"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79D4C49D"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FC8EA4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Acknowledge findings directly without defensiveness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9CF8959"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Dispute valid findings without strong justification</w:t>
            </w:r>
          </w:p>
        </w:tc>
      </w:tr>
      <w:tr w:rsidR="00051252" w:rsidRPr="00051252" w14:paraId="60FF21E2"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7287BE7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Identify the true root cause, not just the symptom</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CA27F6B"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vague action plans (“will improve process”)</w:t>
            </w:r>
          </w:p>
        </w:tc>
      </w:tr>
      <w:tr w:rsidR="00051252" w:rsidRPr="00051252" w14:paraId="0CB65466"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6C3B82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specific, measurable corrective actions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0D7CEDA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Set unrealistic timelines you’ll miss</w:t>
            </w:r>
          </w:p>
        </w:tc>
      </w:tr>
      <w:tr w:rsidR="00051252" w:rsidRPr="00051252" w14:paraId="1F66B119"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49D08507"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Assign named responsible parties and realistic dates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F8C2B5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Ignore findings hoping they’ll go away</w:t>
            </w:r>
          </w:p>
        </w:tc>
      </w:tr>
      <w:tr w:rsidR="00051252" w:rsidRPr="00051252" w14:paraId="2E2E814C"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41A4CA6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Offer evidence that will demonstrate closure</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9F66FD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Blame individuals instead of addressing systemic issues</w:t>
            </w:r>
          </w:p>
        </w:tc>
      </w:tr>
    </w:tbl>
    <w:p w14:paraId="49231ECB" w14:textId="77777777" w:rsidR="006032A1" w:rsidRPr="00051252" w:rsidRDefault="006032A1" w:rsidP="009913EF">
      <w:pPr>
        <w:rPr>
          <w:rFonts w:ascii="Calibri" w:hAnsi="Calibri" w:cs="Calibri"/>
          <w:color w:val="000000" w:themeColor="text1"/>
        </w:rPr>
      </w:pPr>
    </w:p>
    <w:tbl>
      <w:tblPr>
        <w:tblpPr w:leftFromText="180" w:rightFromText="180" w:vertAnchor="text" w:horzAnchor="margin" w:tblpY="-26"/>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022AA734"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1F72ED7D"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170DA975"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a management response to an audit finding that the bank’s vendor risk assessments are not being completed annually for all critical vendors. Of 15 critical vendors, 6 had assessments older than 18 months. Acknowledge the finding, identify root cause (manual tracking process, staffing transitions), and present a corrective action plan that includes implementing vendor management software, updated procedures, and a realistic 90-day remediation timeline.</w:t>
            </w:r>
          </w:p>
        </w:tc>
      </w:tr>
    </w:tbl>
    <w:p w14:paraId="0002F7B4" w14:textId="77777777" w:rsidR="001D5D5F" w:rsidRDefault="001D5D5F" w:rsidP="009913EF">
      <w:pPr>
        <w:rPr>
          <w:rFonts w:ascii="Calibri" w:hAnsi="Calibri" w:cs="Calibri"/>
          <w:b/>
          <w:bCs/>
          <w:color w:val="C00000"/>
          <w:sz w:val="24"/>
          <w:szCs w:val="24"/>
        </w:rPr>
      </w:pPr>
      <w:r>
        <w:br w:type="page"/>
      </w:r>
    </w:p>
    <w:p w14:paraId="23AC35D4" w14:textId="1E496060" w:rsidR="006032A1" w:rsidRPr="00051252" w:rsidRDefault="003F549C" w:rsidP="009913EF">
      <w:pPr>
        <w:pStyle w:val="Heading1"/>
      </w:pPr>
      <w:bookmarkStart w:id="24" w:name="_Toc222209532"/>
      <w:r w:rsidRPr="00051252">
        <w:lastRenderedPageBreak/>
        <w:t>Business Continuity &amp; Disaster Recovery Communications</w:t>
      </w:r>
      <w:bookmarkEnd w:id="2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051252" w:rsidRPr="00051252" w14:paraId="6E9D0E0A"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2099C39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Purpose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45F1F6F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Communicate during business disruptions — from severe weather closures to cyberattacks — with clear instructions for employees, customers, and stakeholders at each phase (before, during, after).</w:t>
            </w:r>
          </w:p>
        </w:tc>
      </w:tr>
      <w:tr w:rsidR="00051252" w:rsidRPr="00051252" w14:paraId="2F795EE5"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1A30967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Tone &amp; Voice</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5508037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 xml:space="preserve">Phase-appropriate: Pre-event: prepared and instructional. During event: calm, directive, and frequently updated. Post-event: reassuring, transparent about recovery status, and </w:t>
            </w:r>
            <w:proofErr w:type="gramStart"/>
            <w:r w:rsidRPr="00051252">
              <w:rPr>
                <w:rFonts w:ascii="Calibri" w:hAnsi="Calibri" w:cs="Calibri"/>
                <w:color w:val="000000" w:themeColor="text1"/>
                <w:sz w:val="20"/>
                <w:szCs w:val="20"/>
              </w:rPr>
              <w:t>appreciative</w:t>
            </w:r>
            <w:proofErr w:type="gramEnd"/>
            <w:r w:rsidRPr="00051252">
              <w:rPr>
                <w:rFonts w:ascii="Calibri" w:hAnsi="Calibri" w:cs="Calibri"/>
                <w:color w:val="000000" w:themeColor="text1"/>
                <w:sz w:val="20"/>
                <w:szCs w:val="20"/>
              </w:rPr>
              <w:t xml:space="preserve"> of patience. All phases: clear, concise, and </w:t>
            </w:r>
            <w:proofErr w:type="gramStart"/>
            <w:r w:rsidRPr="00051252">
              <w:rPr>
                <w:rFonts w:ascii="Calibri" w:hAnsi="Calibri" w:cs="Calibri"/>
                <w:color w:val="000000" w:themeColor="text1"/>
                <w:sz w:val="20"/>
                <w:szCs w:val="20"/>
              </w:rPr>
              <w:t>action-oriented</w:t>
            </w:r>
            <w:proofErr w:type="gramEnd"/>
            <w:r w:rsidRPr="00051252">
              <w:rPr>
                <w:rFonts w:ascii="Calibri" w:hAnsi="Calibri" w:cs="Calibri"/>
                <w:color w:val="000000" w:themeColor="text1"/>
                <w:sz w:val="20"/>
                <w:szCs w:val="20"/>
              </w:rPr>
              <w:t>.</w:t>
            </w:r>
          </w:p>
        </w:tc>
      </w:tr>
      <w:tr w:rsidR="00051252" w:rsidRPr="00051252" w14:paraId="41A6C2BE"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5E3A444B"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Key Elements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7C5AC78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Nature of the disruption; affected locations and services; alternative service availability (ATMs, online banking, phone banking); employee reporting instructions; estimated restoration timeline; customer communication channels; regulatory notification status; essential contact numbers; recovery progress updates.</w:t>
            </w:r>
          </w:p>
        </w:tc>
      </w:tr>
      <w:tr w:rsidR="00051252" w:rsidRPr="00051252" w14:paraId="62A8D534" w14:textId="77777777">
        <w:tc>
          <w:tcPr>
            <w:tcW w:w="2800" w:type="dxa"/>
            <w:tcBorders>
              <w:top w:val="single" w:sz="1" w:space="0" w:color="BFBFBF"/>
              <w:left w:val="single" w:sz="1" w:space="0" w:color="BFBFBF"/>
              <w:bottom w:val="single" w:sz="1" w:space="0" w:color="BFBFBF"/>
              <w:right w:val="single" w:sz="1" w:space="0" w:color="BFBFBF"/>
            </w:tcBorders>
            <w:shd w:val="clear" w:color="auto" w:fill="D6E8F5"/>
            <w:tcMar>
              <w:top w:w="60" w:type="dxa"/>
              <w:left w:w="120" w:type="dxa"/>
              <w:bottom w:w="60" w:type="dxa"/>
              <w:right w:w="120" w:type="dxa"/>
            </w:tcMar>
          </w:tcPr>
          <w:p w14:paraId="3589CE5D"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0"/>
                <w:szCs w:val="20"/>
              </w:rPr>
              <w:t>Compliance Notes</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60" w:type="dxa"/>
              <w:left w:w="120" w:type="dxa"/>
              <w:bottom w:w="60" w:type="dxa"/>
              <w:right w:w="120" w:type="dxa"/>
            </w:tcMar>
          </w:tcPr>
          <w:p w14:paraId="02BE896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0"/>
                <w:szCs w:val="20"/>
              </w:rPr>
              <w:t>Follow the bank’s approved BCP/DR plan for communication protocols. Comply with regulatory notification requirements (36-hour rule for significant cyber incidents). Maintain communication logs for regulatory documentation. Ensure critical function recovery meets RTO/RPO targets. Coordinate with vendors on their DR activation.</w:t>
            </w:r>
          </w:p>
        </w:tc>
      </w:tr>
    </w:tbl>
    <w:p w14:paraId="020827FA" w14:textId="77777777" w:rsidR="006032A1" w:rsidRPr="00051252" w:rsidRDefault="006032A1" w:rsidP="009913EF">
      <w:pPr>
        <w:rPr>
          <w:rFonts w:ascii="Calibri" w:hAnsi="Calibri" w:cs="Calibri"/>
          <w:color w:val="000000" w:themeColor="text1"/>
        </w:rPr>
      </w:pPr>
    </w:p>
    <w:p w14:paraId="6D26578A" w14:textId="77777777" w:rsidR="006032A1" w:rsidRPr="00051252" w:rsidRDefault="006032A1" w:rsidP="009913EF">
      <w:pPr>
        <w:rPr>
          <w:rFonts w:ascii="Calibri" w:hAnsi="Calibri" w:cs="Calibri"/>
          <w:color w:val="000000" w:themeColor="text1"/>
        </w:rPr>
      </w:pPr>
    </w:p>
    <w:p w14:paraId="72F94A15" w14:textId="77777777" w:rsidR="006032A1" w:rsidRPr="00051252" w:rsidRDefault="003F549C" w:rsidP="009913EF">
      <w:pPr>
        <w:rPr>
          <w:rFonts w:ascii="Calibri" w:hAnsi="Calibri" w:cs="Calibri"/>
          <w:color w:val="000000" w:themeColor="text1"/>
        </w:rPr>
      </w:pPr>
      <w:proofErr w:type="gramStart"/>
      <w:r w:rsidRPr="00051252">
        <w:rPr>
          <w:rFonts w:ascii="Calibri" w:hAnsi="Calibri" w:cs="Calibri"/>
          <w:b/>
          <w:bCs/>
          <w:color w:val="000000" w:themeColor="text1"/>
          <w:sz w:val="24"/>
          <w:szCs w:val="24"/>
        </w:rPr>
        <w:t>Do’s</w:t>
      </w:r>
      <w:proofErr w:type="gramEnd"/>
      <w:r w:rsidRPr="00051252">
        <w:rPr>
          <w:rFonts w:ascii="Calibri" w:hAnsi="Calibri" w:cs="Calibri"/>
          <w:b/>
          <w:bCs/>
          <w:color w:val="000000" w:themeColor="text1"/>
          <w:sz w:val="24"/>
          <w:szCs w:val="24"/>
        </w:rPr>
        <w:t xml:space="preserve">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51252" w:rsidRPr="00051252" w14:paraId="5F7D4611" w14:textId="77777777">
        <w:tc>
          <w:tcPr>
            <w:tcW w:w="4680" w:type="dxa"/>
            <w:tcBorders>
              <w:top w:val="single" w:sz="1" w:space="0" w:color="BFBFBF"/>
              <w:left w:val="single" w:sz="1" w:space="0" w:color="BFBFBF"/>
              <w:bottom w:val="single" w:sz="1" w:space="0" w:color="BFBFBF"/>
              <w:right w:val="single" w:sz="1" w:space="0" w:color="BFBFBF"/>
            </w:tcBorders>
            <w:shd w:val="clear" w:color="auto" w:fill="2E7D32"/>
            <w:tcMar>
              <w:top w:w="60" w:type="dxa"/>
              <w:left w:w="120" w:type="dxa"/>
              <w:bottom w:w="60" w:type="dxa"/>
              <w:right w:w="120" w:type="dxa"/>
            </w:tcMar>
          </w:tcPr>
          <w:p w14:paraId="609BF8B2" w14:textId="253DF532"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w:t>
            </w:r>
          </w:p>
        </w:tc>
        <w:tc>
          <w:tcPr>
            <w:tcW w:w="4680" w:type="dxa"/>
            <w:tcBorders>
              <w:top w:val="single" w:sz="1" w:space="0" w:color="BFBFBF"/>
              <w:left w:val="single" w:sz="1" w:space="0" w:color="BFBFBF"/>
              <w:bottom w:val="single" w:sz="1" w:space="0" w:color="BFBFBF"/>
              <w:right w:val="single" w:sz="1" w:space="0" w:color="BFBFBF"/>
            </w:tcBorders>
            <w:shd w:val="clear" w:color="auto" w:fill="C62828"/>
            <w:tcMar>
              <w:top w:w="60" w:type="dxa"/>
              <w:left w:w="120" w:type="dxa"/>
              <w:bottom w:w="60" w:type="dxa"/>
              <w:right w:w="120" w:type="dxa"/>
            </w:tcMar>
          </w:tcPr>
          <w:p w14:paraId="5AA0A240" w14:textId="1F9847C3" w:rsidR="006032A1" w:rsidRPr="00051252" w:rsidRDefault="001E7D15" w:rsidP="009913EF">
            <w:pPr>
              <w:rPr>
                <w:rFonts w:ascii="Calibri" w:hAnsi="Calibri" w:cs="Calibri"/>
                <w:color w:val="000000" w:themeColor="text1"/>
              </w:rPr>
            </w:pPr>
            <w:r>
              <w:rPr>
                <w:rFonts w:ascii="Segoe UI Symbol" w:hAnsi="Segoe UI Symbol" w:cs="Segoe UI Symbol"/>
                <w:b/>
                <w:bCs/>
                <w:color w:val="000000" w:themeColor="text1"/>
                <w:sz w:val="20"/>
                <w:szCs w:val="20"/>
              </w:rPr>
              <w:t>Don’t</w:t>
            </w:r>
          </w:p>
        </w:tc>
      </w:tr>
      <w:tr w:rsidR="00051252" w:rsidRPr="00051252" w14:paraId="3145AD77"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3F5EBB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Pre-draft templates for common scenarios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6C5FC64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Wait until the event to draft communications</w:t>
            </w:r>
          </w:p>
        </w:tc>
      </w:tr>
      <w:tr w:rsidR="00051252" w:rsidRPr="00051252" w14:paraId="5ADD2D08"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591C7FD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Communicate early, often, and through multiple channels</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560BA70"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Communicate only through one channel</w:t>
            </w:r>
          </w:p>
        </w:tc>
      </w:tr>
      <w:tr w:rsidR="00051252" w:rsidRPr="00051252" w14:paraId="42FE6609"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72157DA5"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Provide specific alternative service options</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3D8218CE"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Make recovery timeline promises you can’t keep</w:t>
            </w:r>
          </w:p>
        </w:tc>
      </w:tr>
      <w:tr w:rsidR="00051252" w:rsidRPr="00051252" w14:paraId="136F1A30" w14:textId="77777777">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349D40E3"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Update regularly even when there’s no change</w:t>
            </w:r>
          </w:p>
        </w:tc>
        <w:tc>
          <w:tcPr>
            <w:tcW w:w="4680" w:type="dxa"/>
            <w:tcBorders>
              <w:top w:val="single" w:sz="1" w:space="0" w:color="BFBFBF"/>
              <w:left w:val="single" w:sz="1" w:space="0" w:color="BFBFBF"/>
              <w:bottom w:val="single" w:sz="1" w:space="0" w:color="BFBFBF"/>
              <w:right w:val="single" w:sz="1" w:space="0" w:color="BFBFBF"/>
            </w:tcBorders>
            <w:shd w:val="clear" w:color="auto" w:fill="F2F2F2"/>
            <w:tcMar>
              <w:top w:w="50" w:type="dxa"/>
              <w:left w:w="120" w:type="dxa"/>
              <w:bottom w:w="50" w:type="dxa"/>
              <w:right w:w="120" w:type="dxa"/>
            </w:tcMar>
          </w:tcPr>
          <w:p w14:paraId="0FCF013C"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Forget to notify regulatory agencies when required</w:t>
            </w:r>
          </w:p>
        </w:tc>
      </w:tr>
      <w:tr w:rsidR="00051252" w:rsidRPr="00051252" w14:paraId="12970336"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284C708A"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Conduct post-event communication debrief</w:t>
            </w:r>
          </w:p>
        </w:tc>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50" w:type="dxa"/>
              <w:left w:w="120" w:type="dxa"/>
              <w:bottom w:w="50" w:type="dxa"/>
              <w:right w:w="120" w:type="dxa"/>
            </w:tcMar>
          </w:tcPr>
          <w:p w14:paraId="17863474"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19"/>
                <w:szCs w:val="19"/>
              </w:rPr>
              <w:t>Skip the post-event communication to customers and staff</w:t>
            </w:r>
          </w:p>
        </w:tc>
      </w:tr>
    </w:tbl>
    <w:p w14:paraId="4662E384" w14:textId="77777777" w:rsidR="006032A1" w:rsidRPr="00051252" w:rsidRDefault="006032A1" w:rsidP="009913EF">
      <w:pPr>
        <w:rPr>
          <w:rFonts w:ascii="Calibri" w:hAnsi="Calibri" w:cs="Calibri"/>
          <w:color w:val="000000" w:themeColor="text1"/>
        </w:rPr>
      </w:pPr>
    </w:p>
    <w:tbl>
      <w:tblPr>
        <w:tblpPr w:leftFromText="180" w:rightFromText="180" w:vertAnchor="text" w:horzAnchor="margin" w:tblpY="-75"/>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B4C" w:rsidRPr="00051252" w14:paraId="5631C888" w14:textId="77777777" w:rsidTr="00650B4C">
        <w:tc>
          <w:tcPr>
            <w:tcW w:w="9360" w:type="dxa"/>
            <w:tcBorders>
              <w:top w:val="single" w:sz="2" w:space="0" w:color="3A7CA5"/>
              <w:left w:val="single" w:sz="8" w:space="0" w:color="3A7CA5"/>
              <w:bottom w:val="single" w:sz="2" w:space="0" w:color="3A7CA5"/>
              <w:right w:val="single" w:sz="2" w:space="0" w:color="3A7CA5"/>
            </w:tcBorders>
            <w:shd w:val="clear" w:color="auto" w:fill="EDF4FA"/>
            <w:tcMar>
              <w:top w:w="100" w:type="dxa"/>
              <w:left w:w="200" w:type="dxa"/>
              <w:bottom w:w="100" w:type="dxa"/>
              <w:right w:w="200" w:type="dxa"/>
            </w:tcMar>
          </w:tcPr>
          <w:p w14:paraId="34CA61D4" w14:textId="77777777" w:rsidR="00650B4C" w:rsidRPr="00051252" w:rsidRDefault="00650B4C" w:rsidP="009913EF">
            <w:pPr>
              <w:rPr>
                <w:rFonts w:ascii="Calibri" w:hAnsi="Calibri" w:cs="Calibri"/>
                <w:color w:val="000000" w:themeColor="text1"/>
              </w:rPr>
            </w:pPr>
            <w:r w:rsidRPr="00051252">
              <w:rPr>
                <w:rFonts w:ascii="Calibri" w:hAnsi="Calibri" w:cs="Calibri"/>
                <w:b/>
                <w:bCs/>
                <w:color w:val="000000" w:themeColor="text1"/>
                <w:sz w:val="18"/>
                <w:szCs w:val="18"/>
              </w:rPr>
              <w:t>EXAMPLE PROMPT:</w:t>
            </w:r>
          </w:p>
          <w:p w14:paraId="5317E179" w14:textId="77777777" w:rsidR="00650B4C" w:rsidRPr="00051252" w:rsidRDefault="00650B4C" w:rsidP="009913EF">
            <w:pPr>
              <w:rPr>
                <w:rFonts w:ascii="Calibri" w:hAnsi="Calibri" w:cs="Calibri"/>
                <w:color w:val="000000" w:themeColor="text1"/>
              </w:rPr>
            </w:pPr>
            <w:r w:rsidRPr="00051252">
              <w:rPr>
                <w:rFonts w:ascii="Calibri" w:eastAsia="Consolas" w:hAnsi="Calibri" w:cs="Calibri"/>
                <w:i/>
                <w:iCs/>
                <w:color w:val="000000" w:themeColor="text1"/>
                <w:sz w:val="19"/>
                <w:szCs w:val="19"/>
              </w:rPr>
              <w:t>Write three communications for a regional flooding event that may require branch closures: (1) Employee preparedness alert 24 hours before expected impact, (2) Customer notification of branch closures with alternative banking options, (3) All-clear reopening announcement. Each should be appropriate for its timing and audience. Include references to alternative services like mobile banking, ATMs, and phone banking.</w:t>
            </w:r>
          </w:p>
        </w:tc>
      </w:tr>
    </w:tbl>
    <w:p w14:paraId="5ABF21E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rPr>
        <w:br w:type="page"/>
      </w:r>
    </w:p>
    <w:p w14:paraId="7185A5A3" w14:textId="5EB09644" w:rsidR="006032A1" w:rsidRPr="00051252" w:rsidRDefault="00C04593" w:rsidP="009913EF">
      <w:pPr>
        <w:pStyle w:val="Heading1"/>
      </w:pPr>
      <w:bookmarkStart w:id="25" w:name="_Toc222209533"/>
      <w:r>
        <w:lastRenderedPageBreak/>
        <w:t>Universal Prompting Best Practice</w:t>
      </w:r>
      <w:bookmarkEnd w:id="25"/>
    </w:p>
    <w:p w14:paraId="6CF6886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4"/>
          <w:szCs w:val="24"/>
        </w:rPr>
        <w:t>Prompt Structure Framework</w:t>
      </w:r>
    </w:p>
    <w:p w14:paraId="48DABC51"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1"/>
          <w:szCs w:val="21"/>
        </w:rPr>
        <w:t>Every prompt to a Generative AI tool should follow this structure for consistent, high-quality results:</w:t>
      </w:r>
    </w:p>
    <w:p w14:paraId="1D4E06DC"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1. Role: </w:t>
      </w:r>
      <w:r w:rsidRPr="00051252">
        <w:rPr>
          <w:rFonts w:ascii="Calibri" w:hAnsi="Calibri" w:cs="Calibri"/>
          <w:color w:val="000000" w:themeColor="text1"/>
          <w:sz w:val="21"/>
          <w:szCs w:val="21"/>
        </w:rPr>
        <w:t>Tell the AI who it is. Example: “You are a compliance officer at a community bank.”</w:t>
      </w:r>
    </w:p>
    <w:p w14:paraId="5569EED3"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2. Context: </w:t>
      </w:r>
      <w:r w:rsidRPr="00051252">
        <w:rPr>
          <w:rFonts w:ascii="Calibri" w:hAnsi="Calibri" w:cs="Calibri"/>
          <w:color w:val="000000" w:themeColor="text1"/>
          <w:sz w:val="21"/>
          <w:szCs w:val="21"/>
        </w:rPr>
        <w:t>Provide background. Example: “Our bank is $500M in assets, serves rural Michigan communities.”</w:t>
      </w:r>
    </w:p>
    <w:p w14:paraId="5BFC0ABD"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3. Task: </w:t>
      </w:r>
      <w:r w:rsidRPr="00051252">
        <w:rPr>
          <w:rFonts w:ascii="Calibri" w:hAnsi="Calibri" w:cs="Calibri"/>
          <w:color w:val="000000" w:themeColor="text1"/>
          <w:sz w:val="21"/>
          <w:szCs w:val="21"/>
        </w:rPr>
        <w:t>Be specific about what you need. Example: “Write a 30-day past due notice for an auto loan.”</w:t>
      </w:r>
    </w:p>
    <w:p w14:paraId="6F34D8B0"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4. Format: </w:t>
      </w:r>
      <w:r w:rsidRPr="00051252">
        <w:rPr>
          <w:rFonts w:ascii="Calibri" w:hAnsi="Calibri" w:cs="Calibri"/>
          <w:color w:val="000000" w:themeColor="text1"/>
          <w:sz w:val="21"/>
          <w:szCs w:val="21"/>
        </w:rPr>
        <w:t>Specify the output format. Example: “Format as a professional letter, 1 page maximum.”</w:t>
      </w:r>
    </w:p>
    <w:p w14:paraId="5969C495"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5. Constraints: </w:t>
      </w:r>
      <w:r w:rsidRPr="00051252">
        <w:rPr>
          <w:rFonts w:ascii="Calibri" w:hAnsi="Calibri" w:cs="Calibri"/>
          <w:color w:val="000000" w:themeColor="text1"/>
          <w:sz w:val="21"/>
          <w:szCs w:val="21"/>
        </w:rPr>
        <w:t>Set boundaries. Example: “Include FDCPA language. Do not include full account numbers.”</w:t>
      </w:r>
    </w:p>
    <w:p w14:paraId="49A770A7"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1"/>
          <w:szCs w:val="21"/>
        </w:rPr>
        <w:t xml:space="preserve">6. Tone: </w:t>
      </w:r>
      <w:r w:rsidRPr="00051252">
        <w:rPr>
          <w:rFonts w:ascii="Calibri" w:hAnsi="Calibri" w:cs="Calibri"/>
          <w:color w:val="000000" w:themeColor="text1"/>
          <w:sz w:val="21"/>
          <w:szCs w:val="21"/>
        </w:rPr>
        <w:t>Define the voice. Example: “Tone should be firm but compassionate.”</w:t>
      </w:r>
    </w:p>
    <w:p w14:paraId="1B85A32A"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4"/>
          <w:szCs w:val="24"/>
        </w:rPr>
        <w:t>Compliance Review Checklist</w:t>
      </w:r>
    </w:p>
    <w:p w14:paraId="70D14D2F" w14:textId="77777777"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1"/>
          <w:szCs w:val="21"/>
        </w:rPr>
        <w:t>Before distributing any AI-generated communication, verify the following:</w:t>
      </w:r>
    </w:p>
    <w:p w14:paraId="761F0155" w14:textId="6884FCE7" w:rsidR="006032A1" w:rsidRPr="00051252" w:rsidRDefault="00F550B4" w:rsidP="009913EF">
      <w:pPr>
        <w:rPr>
          <w:rFonts w:ascii="Calibri" w:hAnsi="Calibri" w:cs="Calibri"/>
          <w:color w:val="000000" w:themeColor="text1"/>
        </w:rPr>
      </w:pPr>
      <w:r>
        <w:rPr>
          <w:rFonts w:ascii="Segoe UI Symbol" w:hAnsi="Segoe UI Symbol" w:cs="Segoe UI Symbol"/>
          <w:b/>
          <w:bCs/>
          <w:color w:val="000000" w:themeColor="text1"/>
          <w:sz w:val="21"/>
          <w:szCs w:val="21"/>
        </w:rPr>
        <w:t xml:space="preserve">- </w:t>
      </w:r>
      <w:r w:rsidRPr="00051252">
        <w:rPr>
          <w:rFonts w:ascii="Calibri" w:hAnsi="Calibri" w:cs="Calibri"/>
          <w:b/>
          <w:bCs/>
          <w:color w:val="000000" w:themeColor="text1"/>
          <w:sz w:val="21"/>
          <w:szCs w:val="21"/>
        </w:rPr>
        <w:t xml:space="preserve">  </w:t>
      </w:r>
      <w:r w:rsidRPr="00051252">
        <w:rPr>
          <w:rFonts w:ascii="Calibri" w:hAnsi="Calibri" w:cs="Calibri"/>
          <w:color w:val="000000" w:themeColor="text1"/>
          <w:sz w:val="21"/>
          <w:szCs w:val="21"/>
        </w:rPr>
        <w:t>Content has been reviewed for factual accuracy by a subject matter expert.</w:t>
      </w:r>
    </w:p>
    <w:p w14:paraId="1E83179C" w14:textId="473FF291" w:rsidR="006032A1" w:rsidRPr="00051252" w:rsidRDefault="00F550B4" w:rsidP="009913EF">
      <w:pPr>
        <w:rPr>
          <w:rFonts w:ascii="Calibri" w:hAnsi="Calibri" w:cs="Calibri"/>
          <w:color w:val="000000" w:themeColor="text1"/>
        </w:rPr>
      </w:pPr>
      <w:r>
        <w:rPr>
          <w:rFonts w:ascii="Segoe UI Symbol" w:hAnsi="Segoe UI Symbol" w:cs="Segoe UI Symbol"/>
          <w:b/>
          <w:bCs/>
          <w:color w:val="000000" w:themeColor="text1"/>
          <w:sz w:val="21"/>
          <w:szCs w:val="21"/>
        </w:rPr>
        <w:t xml:space="preserve">- </w:t>
      </w:r>
      <w:r w:rsidRPr="00051252">
        <w:rPr>
          <w:rFonts w:ascii="Calibri" w:hAnsi="Calibri" w:cs="Calibri"/>
          <w:b/>
          <w:bCs/>
          <w:color w:val="000000" w:themeColor="text1"/>
          <w:sz w:val="21"/>
          <w:szCs w:val="21"/>
        </w:rPr>
        <w:t xml:space="preserve">  </w:t>
      </w:r>
      <w:r w:rsidRPr="00051252">
        <w:rPr>
          <w:rFonts w:ascii="Calibri" w:hAnsi="Calibri" w:cs="Calibri"/>
          <w:color w:val="000000" w:themeColor="text1"/>
          <w:sz w:val="21"/>
          <w:szCs w:val="21"/>
        </w:rPr>
        <w:t>All required regulatory disclosures are present and correctly stated.</w:t>
      </w:r>
    </w:p>
    <w:p w14:paraId="262D8DB8" w14:textId="4E817460" w:rsidR="006032A1" w:rsidRPr="00051252" w:rsidRDefault="00F550B4" w:rsidP="009913EF">
      <w:pPr>
        <w:rPr>
          <w:rFonts w:ascii="Calibri" w:hAnsi="Calibri" w:cs="Calibri"/>
          <w:color w:val="000000" w:themeColor="text1"/>
        </w:rPr>
      </w:pPr>
      <w:r>
        <w:rPr>
          <w:rFonts w:ascii="Segoe UI Symbol" w:hAnsi="Segoe UI Symbol" w:cs="Segoe UI Symbol"/>
          <w:b/>
          <w:bCs/>
          <w:color w:val="000000" w:themeColor="text1"/>
          <w:sz w:val="21"/>
          <w:szCs w:val="21"/>
        </w:rPr>
        <w:t xml:space="preserve">- </w:t>
      </w:r>
      <w:r w:rsidRPr="00051252">
        <w:rPr>
          <w:rFonts w:ascii="Calibri" w:hAnsi="Calibri" w:cs="Calibri"/>
          <w:b/>
          <w:bCs/>
          <w:color w:val="000000" w:themeColor="text1"/>
          <w:sz w:val="21"/>
          <w:szCs w:val="21"/>
        </w:rPr>
        <w:t xml:space="preserve">  </w:t>
      </w:r>
      <w:r w:rsidRPr="00051252">
        <w:rPr>
          <w:rFonts w:ascii="Calibri" w:hAnsi="Calibri" w:cs="Calibri"/>
          <w:color w:val="000000" w:themeColor="text1"/>
          <w:sz w:val="21"/>
          <w:szCs w:val="21"/>
        </w:rPr>
        <w:t>Customer names, account details, and figures have been verified.</w:t>
      </w:r>
    </w:p>
    <w:p w14:paraId="3CA2A1B6" w14:textId="3F31F5B1" w:rsidR="006032A1" w:rsidRPr="00051252" w:rsidRDefault="00F550B4" w:rsidP="009913EF">
      <w:pPr>
        <w:rPr>
          <w:rFonts w:ascii="Calibri" w:hAnsi="Calibri" w:cs="Calibri"/>
          <w:color w:val="000000" w:themeColor="text1"/>
        </w:rPr>
      </w:pPr>
      <w:r>
        <w:rPr>
          <w:rFonts w:ascii="Segoe UI Symbol" w:hAnsi="Segoe UI Symbol" w:cs="Segoe UI Symbol"/>
          <w:b/>
          <w:bCs/>
          <w:color w:val="000000" w:themeColor="text1"/>
          <w:sz w:val="21"/>
          <w:szCs w:val="21"/>
        </w:rPr>
        <w:t xml:space="preserve">- </w:t>
      </w:r>
      <w:r w:rsidRPr="00051252">
        <w:rPr>
          <w:rFonts w:ascii="Calibri" w:hAnsi="Calibri" w:cs="Calibri"/>
          <w:b/>
          <w:bCs/>
          <w:color w:val="000000" w:themeColor="text1"/>
          <w:sz w:val="21"/>
          <w:szCs w:val="21"/>
        </w:rPr>
        <w:t xml:space="preserve">  </w:t>
      </w:r>
      <w:r w:rsidRPr="00051252">
        <w:rPr>
          <w:rFonts w:ascii="Calibri" w:hAnsi="Calibri" w:cs="Calibri"/>
          <w:color w:val="000000" w:themeColor="text1"/>
          <w:sz w:val="21"/>
          <w:szCs w:val="21"/>
        </w:rPr>
        <w:t>Tone and language are appropriate for the audience and situation.</w:t>
      </w:r>
    </w:p>
    <w:p w14:paraId="39D7EA12" w14:textId="55C21131" w:rsidR="006032A1" w:rsidRPr="00051252" w:rsidRDefault="00F550B4" w:rsidP="009913EF">
      <w:pPr>
        <w:rPr>
          <w:rFonts w:ascii="Calibri" w:hAnsi="Calibri" w:cs="Calibri"/>
          <w:color w:val="000000" w:themeColor="text1"/>
        </w:rPr>
      </w:pPr>
      <w:r>
        <w:rPr>
          <w:rFonts w:ascii="Segoe UI Symbol" w:hAnsi="Segoe UI Symbol" w:cs="Segoe UI Symbol"/>
          <w:b/>
          <w:bCs/>
          <w:color w:val="000000" w:themeColor="text1"/>
          <w:sz w:val="21"/>
          <w:szCs w:val="21"/>
        </w:rPr>
        <w:t xml:space="preserve">- </w:t>
      </w:r>
      <w:r w:rsidRPr="00051252">
        <w:rPr>
          <w:rFonts w:ascii="Calibri" w:hAnsi="Calibri" w:cs="Calibri"/>
          <w:b/>
          <w:bCs/>
          <w:color w:val="000000" w:themeColor="text1"/>
          <w:sz w:val="21"/>
          <w:szCs w:val="21"/>
        </w:rPr>
        <w:t xml:space="preserve">  </w:t>
      </w:r>
      <w:r w:rsidRPr="00051252">
        <w:rPr>
          <w:rFonts w:ascii="Calibri" w:hAnsi="Calibri" w:cs="Calibri"/>
          <w:color w:val="000000" w:themeColor="text1"/>
          <w:sz w:val="21"/>
          <w:szCs w:val="21"/>
        </w:rPr>
        <w:t>Content does not inadvertently discriminate or violate fair lending standards.</w:t>
      </w:r>
    </w:p>
    <w:p w14:paraId="2B3B9546" w14:textId="5F406278" w:rsidR="006032A1" w:rsidRPr="00051252" w:rsidRDefault="00F550B4" w:rsidP="009913EF">
      <w:pPr>
        <w:rPr>
          <w:rFonts w:ascii="Calibri" w:hAnsi="Calibri" w:cs="Calibri"/>
          <w:color w:val="000000" w:themeColor="text1"/>
        </w:rPr>
      </w:pPr>
      <w:r>
        <w:rPr>
          <w:rFonts w:ascii="Segoe UI Symbol" w:hAnsi="Segoe UI Symbol" w:cs="Segoe UI Symbol"/>
          <w:b/>
          <w:bCs/>
          <w:color w:val="000000" w:themeColor="text1"/>
          <w:sz w:val="21"/>
          <w:szCs w:val="21"/>
        </w:rPr>
        <w:t xml:space="preserve">- </w:t>
      </w:r>
      <w:r w:rsidRPr="00051252">
        <w:rPr>
          <w:rFonts w:ascii="Calibri" w:hAnsi="Calibri" w:cs="Calibri"/>
          <w:b/>
          <w:bCs/>
          <w:color w:val="000000" w:themeColor="text1"/>
          <w:sz w:val="21"/>
          <w:szCs w:val="21"/>
        </w:rPr>
        <w:t xml:space="preserve">  </w:t>
      </w:r>
      <w:r w:rsidRPr="00051252">
        <w:rPr>
          <w:rFonts w:ascii="Calibri" w:hAnsi="Calibri" w:cs="Calibri"/>
          <w:color w:val="000000" w:themeColor="text1"/>
          <w:sz w:val="21"/>
          <w:szCs w:val="21"/>
        </w:rPr>
        <w:t xml:space="preserve">Personal or confidential information is </w:t>
      </w:r>
      <w:r w:rsidR="0092112B">
        <w:rPr>
          <w:rFonts w:ascii="Calibri" w:hAnsi="Calibri" w:cs="Calibri"/>
          <w:color w:val="000000" w:themeColor="text1"/>
          <w:sz w:val="21"/>
          <w:szCs w:val="21"/>
        </w:rPr>
        <w:t>removed.</w:t>
      </w:r>
    </w:p>
    <w:p w14:paraId="27DA6504" w14:textId="3EB161BC" w:rsidR="006032A1" w:rsidRPr="00051252" w:rsidRDefault="00F550B4" w:rsidP="009913EF">
      <w:pPr>
        <w:rPr>
          <w:rFonts w:ascii="Calibri" w:hAnsi="Calibri" w:cs="Calibri"/>
          <w:color w:val="000000" w:themeColor="text1"/>
        </w:rPr>
      </w:pPr>
      <w:r>
        <w:rPr>
          <w:rFonts w:ascii="Segoe UI Symbol" w:hAnsi="Segoe UI Symbol" w:cs="Segoe UI Symbol"/>
          <w:b/>
          <w:bCs/>
          <w:color w:val="000000" w:themeColor="text1"/>
          <w:sz w:val="21"/>
          <w:szCs w:val="21"/>
        </w:rPr>
        <w:t xml:space="preserve">- </w:t>
      </w:r>
      <w:r w:rsidRPr="00051252">
        <w:rPr>
          <w:rFonts w:ascii="Calibri" w:hAnsi="Calibri" w:cs="Calibri"/>
          <w:b/>
          <w:bCs/>
          <w:color w:val="000000" w:themeColor="text1"/>
          <w:sz w:val="21"/>
          <w:szCs w:val="21"/>
        </w:rPr>
        <w:t xml:space="preserve">  </w:t>
      </w:r>
      <w:r w:rsidRPr="00051252">
        <w:rPr>
          <w:rFonts w:ascii="Calibri" w:hAnsi="Calibri" w:cs="Calibri"/>
          <w:color w:val="000000" w:themeColor="text1"/>
          <w:sz w:val="21"/>
          <w:szCs w:val="21"/>
        </w:rPr>
        <w:t>Distribution method and audience are correct</w:t>
      </w:r>
      <w:r w:rsidR="004037C6">
        <w:rPr>
          <w:rFonts w:ascii="Calibri" w:hAnsi="Calibri" w:cs="Calibri"/>
          <w:color w:val="000000" w:themeColor="text1"/>
          <w:sz w:val="21"/>
          <w:szCs w:val="21"/>
        </w:rPr>
        <w:t>.  For detailed information on distribution method</w:t>
      </w:r>
      <w:r w:rsidR="00D31E15">
        <w:rPr>
          <w:rFonts w:ascii="Calibri" w:hAnsi="Calibri" w:cs="Calibri"/>
          <w:color w:val="000000" w:themeColor="text1"/>
          <w:sz w:val="21"/>
          <w:szCs w:val="21"/>
        </w:rPr>
        <w:t>s</w:t>
      </w:r>
      <w:r w:rsidR="004037C6">
        <w:rPr>
          <w:rFonts w:ascii="Calibri" w:hAnsi="Calibri" w:cs="Calibri"/>
          <w:color w:val="000000" w:themeColor="text1"/>
          <w:sz w:val="21"/>
          <w:szCs w:val="21"/>
        </w:rPr>
        <w:t>, please contact Marketing</w:t>
      </w:r>
      <w:r w:rsidRPr="00051252">
        <w:rPr>
          <w:rFonts w:ascii="Calibri" w:hAnsi="Calibri" w:cs="Calibri"/>
          <w:color w:val="000000" w:themeColor="text1"/>
          <w:sz w:val="21"/>
          <w:szCs w:val="21"/>
        </w:rPr>
        <w:t>.</w:t>
      </w:r>
    </w:p>
    <w:p w14:paraId="4AF29E26" w14:textId="77777777" w:rsidR="006032A1" w:rsidRPr="00051252" w:rsidRDefault="003F549C" w:rsidP="009913EF">
      <w:pPr>
        <w:rPr>
          <w:rFonts w:ascii="Calibri" w:hAnsi="Calibri" w:cs="Calibri"/>
          <w:color w:val="000000" w:themeColor="text1"/>
        </w:rPr>
      </w:pPr>
      <w:r w:rsidRPr="00051252">
        <w:rPr>
          <w:rFonts w:ascii="Calibri" w:hAnsi="Calibri" w:cs="Calibri"/>
          <w:b/>
          <w:bCs/>
          <w:color w:val="000000" w:themeColor="text1"/>
          <w:sz w:val="24"/>
          <w:szCs w:val="24"/>
        </w:rPr>
        <w:t>AI Tool Usage Reminders</w:t>
      </w:r>
    </w:p>
    <w:p w14:paraId="58A9F8D6" w14:textId="203D4D14"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1"/>
          <w:szCs w:val="21"/>
        </w:rPr>
        <w:t>Never input customer PII (Social Security numbers, full account numbers, dates of birth) into external AI tools</w:t>
      </w:r>
      <w:r w:rsidR="00C0171B">
        <w:rPr>
          <w:rFonts w:ascii="Calibri" w:hAnsi="Calibri" w:cs="Calibri"/>
          <w:color w:val="000000" w:themeColor="text1"/>
          <w:sz w:val="21"/>
          <w:szCs w:val="21"/>
        </w:rPr>
        <w:t xml:space="preserve"> that don’t explicitly state it doesn’t train our Bank information and has been approved by the AI Working Group</w:t>
      </w:r>
      <w:r w:rsidRPr="00051252">
        <w:rPr>
          <w:rFonts w:ascii="Calibri" w:hAnsi="Calibri" w:cs="Calibri"/>
          <w:color w:val="000000" w:themeColor="text1"/>
          <w:sz w:val="21"/>
          <w:szCs w:val="21"/>
        </w:rPr>
        <w:t>. Use anonymized or placeholder data in prompts and replace with actual data in the final document.</w:t>
      </w:r>
      <w:r w:rsidR="003C447E">
        <w:rPr>
          <w:rFonts w:ascii="Calibri" w:hAnsi="Calibri" w:cs="Calibri"/>
          <w:color w:val="000000" w:themeColor="text1"/>
          <w:sz w:val="21"/>
          <w:szCs w:val="21"/>
        </w:rPr>
        <w:t xml:space="preserve"> </w:t>
      </w:r>
    </w:p>
    <w:p w14:paraId="0BBC1A96" w14:textId="77777777" w:rsidR="006032A1" w:rsidRPr="00051252" w:rsidRDefault="006032A1" w:rsidP="009913EF">
      <w:pPr>
        <w:rPr>
          <w:rFonts w:ascii="Calibri" w:hAnsi="Calibri" w:cs="Calibri"/>
          <w:color w:val="000000" w:themeColor="text1"/>
        </w:rPr>
      </w:pPr>
    </w:p>
    <w:p w14:paraId="4A54B519" w14:textId="7E0B1818"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1"/>
          <w:szCs w:val="21"/>
        </w:rPr>
        <w:t>AI-generated content is a first draft, not a final product. Every output requires human review, editing, and approval before distribution.</w:t>
      </w:r>
      <w:r w:rsidR="003C447E">
        <w:rPr>
          <w:rFonts w:ascii="Calibri" w:hAnsi="Calibri" w:cs="Calibri"/>
          <w:color w:val="000000" w:themeColor="text1"/>
          <w:sz w:val="21"/>
          <w:szCs w:val="21"/>
        </w:rPr>
        <w:t xml:space="preserve">  Responsibility for output lies completely with Bank employees.  If you are presenting it, you own it.</w:t>
      </w:r>
    </w:p>
    <w:p w14:paraId="2EB45A4C" w14:textId="77777777" w:rsidR="006032A1" w:rsidRPr="00051252" w:rsidRDefault="006032A1" w:rsidP="009913EF">
      <w:pPr>
        <w:rPr>
          <w:rFonts w:ascii="Calibri" w:hAnsi="Calibri" w:cs="Calibri"/>
          <w:color w:val="000000" w:themeColor="text1"/>
        </w:rPr>
      </w:pPr>
    </w:p>
    <w:p w14:paraId="57F8E3C2" w14:textId="079E65A8" w:rsidR="006032A1" w:rsidRPr="00051252" w:rsidRDefault="003F549C" w:rsidP="009913EF">
      <w:pPr>
        <w:rPr>
          <w:rFonts w:ascii="Calibri" w:hAnsi="Calibri" w:cs="Calibri"/>
          <w:color w:val="000000" w:themeColor="text1"/>
        </w:rPr>
      </w:pPr>
      <w:r w:rsidRPr="00051252">
        <w:rPr>
          <w:rFonts w:ascii="Calibri" w:hAnsi="Calibri" w:cs="Calibri"/>
          <w:color w:val="000000" w:themeColor="text1"/>
          <w:sz w:val="21"/>
          <w:szCs w:val="21"/>
        </w:rPr>
        <w:t xml:space="preserve">When in doubt about compliance requirements for a specific communication, consult </w:t>
      </w:r>
      <w:r w:rsidR="003C447E">
        <w:rPr>
          <w:rFonts w:ascii="Calibri" w:hAnsi="Calibri" w:cs="Calibri"/>
          <w:color w:val="000000" w:themeColor="text1"/>
          <w:sz w:val="21"/>
          <w:szCs w:val="21"/>
        </w:rPr>
        <w:t xml:space="preserve">the Chief Compliance Officer, CIO, or Information Security Officer </w:t>
      </w:r>
      <w:r w:rsidRPr="00051252">
        <w:rPr>
          <w:rFonts w:ascii="Calibri" w:hAnsi="Calibri" w:cs="Calibri"/>
          <w:color w:val="000000" w:themeColor="text1"/>
          <w:sz w:val="21"/>
          <w:szCs w:val="21"/>
        </w:rPr>
        <w:t>before distributing. The style guides in this document provide general guidance but cannot replace professional regulatory judgment.</w:t>
      </w:r>
    </w:p>
    <w:p w14:paraId="024674A1" w14:textId="77777777" w:rsidR="006032A1" w:rsidRPr="00051252" w:rsidRDefault="006032A1" w:rsidP="009913EF">
      <w:pPr>
        <w:rPr>
          <w:rFonts w:ascii="Calibri" w:hAnsi="Calibri" w:cs="Calibri"/>
          <w:color w:val="000000" w:themeColor="text1"/>
        </w:rPr>
      </w:pPr>
    </w:p>
    <w:p w14:paraId="63F4EE39" w14:textId="23E75C6F" w:rsidR="006032A1" w:rsidRPr="00051252" w:rsidRDefault="00BB3FE6" w:rsidP="009913EF">
      <w:pPr>
        <w:rPr>
          <w:rFonts w:ascii="Calibri" w:hAnsi="Calibri" w:cs="Calibri"/>
          <w:color w:val="000000" w:themeColor="text1"/>
        </w:rPr>
      </w:pPr>
      <w:r>
        <w:rPr>
          <w:rFonts w:ascii="Calibri" w:hAnsi="Calibri" w:cs="Calibri"/>
          <w:color w:val="000000" w:themeColor="text1"/>
          <w:sz w:val="21"/>
          <w:szCs w:val="21"/>
        </w:rPr>
        <w:t>Working group for approval and inclusion in the Bank’s Systems and\or use case inventory.  All use of AI and AI</w:t>
      </w:r>
      <w:r w:rsidRPr="00051252">
        <w:rPr>
          <w:rFonts w:ascii="Calibri" w:hAnsi="Calibri" w:cs="Calibri"/>
          <w:color w:val="000000" w:themeColor="text1"/>
          <w:sz w:val="21"/>
          <w:szCs w:val="21"/>
        </w:rPr>
        <w:t xml:space="preserve"> tools </w:t>
      </w:r>
      <w:r>
        <w:rPr>
          <w:rFonts w:ascii="Calibri" w:hAnsi="Calibri" w:cs="Calibri"/>
          <w:color w:val="000000" w:themeColor="text1"/>
          <w:sz w:val="21"/>
          <w:szCs w:val="21"/>
        </w:rPr>
        <w:t>must adhere to the Bank’s AI policy and AI Systems Program.</w:t>
      </w:r>
    </w:p>
    <w:sectPr w:rsidR="006032A1" w:rsidRPr="00051252">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793F5" w14:textId="77777777" w:rsidR="00686C16" w:rsidRDefault="00686C16">
      <w:r>
        <w:separator/>
      </w:r>
    </w:p>
  </w:endnote>
  <w:endnote w:type="continuationSeparator" w:id="0">
    <w:p w14:paraId="26E5412F" w14:textId="77777777" w:rsidR="00686C16" w:rsidRDefault="00686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0FF9" w14:textId="3AE313E7" w:rsidR="006032A1" w:rsidRDefault="003F549C" w:rsidP="00242160">
    <w:pPr>
      <w:jc w:val="center"/>
    </w:pPr>
    <w:r>
      <w:rPr>
        <w:color w:val="666666"/>
        <w:sz w:val="16"/>
        <w:szCs w:val="16"/>
      </w:rPr>
      <w:fldChar w:fldCharType="begin"/>
    </w:r>
    <w:r>
      <w:rPr>
        <w:color w:val="666666"/>
        <w:sz w:val="16"/>
        <w:szCs w:val="16"/>
      </w:rPr>
      <w:instrText>PAGE</w:instrText>
    </w:r>
    <w:r>
      <w:rPr>
        <w:color w:val="666666"/>
        <w:sz w:val="16"/>
        <w:szCs w:val="16"/>
      </w:rPr>
      <w:fldChar w:fldCharType="separate"/>
    </w:r>
    <w:r w:rsidR="00051252">
      <w:rPr>
        <w:noProof/>
        <w:color w:val="666666"/>
        <w:sz w:val="16"/>
        <w:szCs w:val="16"/>
      </w:rPr>
      <w:t>4</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366AD" w14:textId="77777777" w:rsidR="00686C16" w:rsidRDefault="00686C16">
      <w:r>
        <w:separator/>
      </w:r>
    </w:p>
  </w:footnote>
  <w:footnote w:type="continuationSeparator" w:id="0">
    <w:p w14:paraId="3AB3F97D" w14:textId="77777777" w:rsidR="00686C16" w:rsidRDefault="00686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14E0" w14:textId="6CD75029" w:rsidR="006032A1" w:rsidRDefault="006032A1" w:rsidP="00D31E15">
    <w:pPr>
      <w:tabs>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8F62" w14:textId="1718FD6D" w:rsidR="006032A1" w:rsidRDefault="006032A1" w:rsidP="00051252">
    <w:pPr>
      <w:tabs>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A3AEF"/>
    <w:multiLevelType w:val="hybridMultilevel"/>
    <w:tmpl w:val="522016C2"/>
    <w:lvl w:ilvl="0" w:tplc="5F2EFBD0">
      <w:start w:val="1"/>
      <w:numFmt w:val="bullet"/>
      <w:lvlText w:val="●"/>
      <w:lvlJc w:val="left"/>
      <w:pPr>
        <w:ind w:left="720" w:hanging="360"/>
      </w:pPr>
    </w:lvl>
    <w:lvl w:ilvl="1" w:tplc="E4341C90">
      <w:start w:val="1"/>
      <w:numFmt w:val="bullet"/>
      <w:lvlText w:val="○"/>
      <w:lvlJc w:val="left"/>
      <w:pPr>
        <w:ind w:left="1440" w:hanging="360"/>
      </w:pPr>
    </w:lvl>
    <w:lvl w:ilvl="2" w:tplc="17CC7162">
      <w:start w:val="1"/>
      <w:numFmt w:val="bullet"/>
      <w:lvlText w:val="■"/>
      <w:lvlJc w:val="left"/>
      <w:pPr>
        <w:ind w:left="2160" w:hanging="360"/>
      </w:pPr>
    </w:lvl>
    <w:lvl w:ilvl="3" w:tplc="4CF23498">
      <w:start w:val="1"/>
      <w:numFmt w:val="bullet"/>
      <w:lvlText w:val="●"/>
      <w:lvlJc w:val="left"/>
      <w:pPr>
        <w:ind w:left="2880" w:hanging="360"/>
      </w:pPr>
    </w:lvl>
    <w:lvl w:ilvl="4" w:tplc="3D9C0236">
      <w:start w:val="1"/>
      <w:numFmt w:val="bullet"/>
      <w:lvlText w:val="○"/>
      <w:lvlJc w:val="left"/>
      <w:pPr>
        <w:ind w:left="3600" w:hanging="360"/>
      </w:pPr>
    </w:lvl>
    <w:lvl w:ilvl="5" w:tplc="4F7E051C">
      <w:start w:val="1"/>
      <w:numFmt w:val="bullet"/>
      <w:lvlText w:val="■"/>
      <w:lvlJc w:val="left"/>
      <w:pPr>
        <w:ind w:left="4320" w:hanging="360"/>
      </w:pPr>
    </w:lvl>
    <w:lvl w:ilvl="6" w:tplc="52E2224A">
      <w:start w:val="1"/>
      <w:numFmt w:val="bullet"/>
      <w:lvlText w:val="●"/>
      <w:lvlJc w:val="left"/>
      <w:pPr>
        <w:ind w:left="5040" w:hanging="360"/>
      </w:pPr>
    </w:lvl>
    <w:lvl w:ilvl="7" w:tplc="F9E806F2">
      <w:start w:val="1"/>
      <w:numFmt w:val="bullet"/>
      <w:lvlText w:val="●"/>
      <w:lvlJc w:val="left"/>
      <w:pPr>
        <w:ind w:left="5760" w:hanging="360"/>
      </w:pPr>
    </w:lvl>
    <w:lvl w:ilvl="8" w:tplc="B58EB684">
      <w:start w:val="1"/>
      <w:numFmt w:val="bullet"/>
      <w:lvlText w:val="●"/>
      <w:lvlJc w:val="left"/>
      <w:pPr>
        <w:ind w:left="6480" w:hanging="360"/>
      </w:pPr>
    </w:lvl>
  </w:abstractNum>
  <w:num w:numId="1" w16cid:durableId="13206942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2A1"/>
    <w:rsid w:val="00051252"/>
    <w:rsid w:val="000D439F"/>
    <w:rsid w:val="000E2443"/>
    <w:rsid w:val="001D5D5F"/>
    <w:rsid w:val="001E621F"/>
    <w:rsid w:val="001E7D15"/>
    <w:rsid w:val="00242160"/>
    <w:rsid w:val="002D5F1D"/>
    <w:rsid w:val="00315BE3"/>
    <w:rsid w:val="003627CA"/>
    <w:rsid w:val="003B13D0"/>
    <w:rsid w:val="003C447E"/>
    <w:rsid w:val="003E7790"/>
    <w:rsid w:val="003F549C"/>
    <w:rsid w:val="004037C6"/>
    <w:rsid w:val="00486778"/>
    <w:rsid w:val="004A2750"/>
    <w:rsid w:val="004D6E4B"/>
    <w:rsid w:val="005546D2"/>
    <w:rsid w:val="006032A1"/>
    <w:rsid w:val="00650B4C"/>
    <w:rsid w:val="00686C16"/>
    <w:rsid w:val="006D3E6C"/>
    <w:rsid w:val="007106ED"/>
    <w:rsid w:val="0075680D"/>
    <w:rsid w:val="0078494A"/>
    <w:rsid w:val="007958EB"/>
    <w:rsid w:val="008363B1"/>
    <w:rsid w:val="0092112B"/>
    <w:rsid w:val="009913EF"/>
    <w:rsid w:val="00A26EDA"/>
    <w:rsid w:val="00B8426F"/>
    <w:rsid w:val="00B94000"/>
    <w:rsid w:val="00BB296E"/>
    <w:rsid w:val="00BB3FE6"/>
    <w:rsid w:val="00C0171B"/>
    <w:rsid w:val="00C04593"/>
    <w:rsid w:val="00D1666D"/>
    <w:rsid w:val="00D31E15"/>
    <w:rsid w:val="00E6325A"/>
    <w:rsid w:val="00F3657F"/>
    <w:rsid w:val="00F55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DEAC"/>
  <w15:docId w15:val="{BCEBBDE2-5B24-4CB8-8461-228BE7E2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rsid w:val="00650B4C"/>
    <w:pPr>
      <w:outlineLvl w:val="0"/>
    </w:pPr>
    <w:rPr>
      <w:rFonts w:ascii="Calibri" w:hAnsi="Calibri" w:cs="Calibri"/>
      <w:b/>
      <w:bCs/>
      <w:color w:val="000000" w:themeColor="text1"/>
      <w:sz w:val="28"/>
      <w:szCs w:val="28"/>
    </w:rPr>
  </w:style>
  <w:style w:type="paragraph" w:styleId="Heading2">
    <w:name w:val="heading 2"/>
    <w:basedOn w:val="Normal"/>
    <w:uiPriority w:val="9"/>
    <w:unhideWhenUsed/>
    <w:qFormat/>
    <w:rsid w:val="003E7790"/>
    <w:pPr>
      <w:pBdr>
        <w:bottom w:val="single" w:sz="4" w:space="1" w:color="auto"/>
      </w:pBdr>
      <w:spacing w:before="40" w:after="160"/>
      <w:outlineLvl w:val="1"/>
    </w:pPr>
    <w:rPr>
      <w:rFonts w:ascii="Calibri" w:hAnsi="Calibri" w:cs="Calibri"/>
      <w:b/>
      <w:bCs/>
      <w:color w:val="C0000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51252"/>
    <w:pPr>
      <w:tabs>
        <w:tab w:val="center" w:pos="4680"/>
        <w:tab w:val="right" w:pos="9360"/>
      </w:tabs>
    </w:pPr>
  </w:style>
  <w:style w:type="character" w:customStyle="1" w:styleId="HeaderChar">
    <w:name w:val="Header Char"/>
    <w:basedOn w:val="DefaultParagraphFont"/>
    <w:link w:val="Header"/>
    <w:uiPriority w:val="99"/>
    <w:rsid w:val="00051252"/>
  </w:style>
  <w:style w:type="paragraph" w:styleId="Footer">
    <w:name w:val="footer"/>
    <w:basedOn w:val="Normal"/>
    <w:link w:val="FooterChar"/>
    <w:uiPriority w:val="99"/>
    <w:unhideWhenUsed/>
    <w:rsid w:val="00051252"/>
    <w:pPr>
      <w:tabs>
        <w:tab w:val="center" w:pos="4680"/>
        <w:tab w:val="right" w:pos="9360"/>
      </w:tabs>
    </w:pPr>
  </w:style>
  <w:style w:type="character" w:customStyle="1" w:styleId="FooterChar">
    <w:name w:val="Footer Char"/>
    <w:basedOn w:val="DefaultParagraphFont"/>
    <w:link w:val="Footer"/>
    <w:uiPriority w:val="99"/>
    <w:rsid w:val="00051252"/>
  </w:style>
  <w:style w:type="paragraph" w:styleId="TOCHeading">
    <w:name w:val="TOC Heading"/>
    <w:basedOn w:val="Heading1"/>
    <w:next w:val="Normal"/>
    <w:uiPriority w:val="39"/>
    <w:unhideWhenUsed/>
    <w:qFormat/>
    <w:rsid w:val="00650B4C"/>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650B4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AC97C-7B36-4B36-AA7E-9423BB4A6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27</Pages>
  <Words>6911</Words>
  <Characters>43477</Characters>
  <Application>Microsoft Office Word</Application>
  <DocSecurity>0</DocSecurity>
  <Lines>1114</Lines>
  <Paragraphs>763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rbeachy@sturgis.bank</dc:creator>
  <cp:lastModifiedBy>Rob Beachy</cp:lastModifiedBy>
  <cp:revision>30</cp:revision>
  <cp:lastPrinted>2026-02-15T01:01:00Z</cp:lastPrinted>
  <dcterms:created xsi:type="dcterms:W3CDTF">2026-02-14T23:32:00Z</dcterms:created>
  <dcterms:modified xsi:type="dcterms:W3CDTF">2026-06-22T18:56:00Z</dcterms:modified>
</cp:coreProperties>
</file>