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AAF44" w14:textId="7599FB1F" w:rsidR="00491E29" w:rsidRPr="002F2822" w:rsidRDefault="002E2443" w:rsidP="002F2822">
      <w:pPr>
        <w:spacing w:after="0" w:line="240" w:lineRule="auto"/>
        <w:jc w:val="center"/>
        <w:rPr>
          <w:rFonts w:asciiTheme="majorHAnsi" w:hAnsiTheme="majorHAnsi" w:cstheme="majorHAnsi"/>
          <w:sz w:val="32"/>
          <w:szCs w:val="32"/>
        </w:rPr>
      </w:pPr>
      <w:r>
        <w:rPr>
          <w:rFonts w:asciiTheme="majorHAnsi" w:hAnsiTheme="majorHAnsi" w:cstheme="majorHAnsi"/>
          <w:b/>
          <w:sz w:val="32"/>
          <w:szCs w:val="32"/>
        </w:rPr>
        <w:t>Bank</w:t>
      </w:r>
    </w:p>
    <w:p w14:paraId="3412AE1A" w14:textId="77777777" w:rsidR="00491E29" w:rsidRPr="002F2822" w:rsidRDefault="00243FBD" w:rsidP="002F2822">
      <w:pPr>
        <w:pBdr>
          <w:bottom w:val="single" w:sz="4" w:space="1" w:color="auto"/>
        </w:pBdr>
        <w:spacing w:after="0" w:line="240" w:lineRule="auto"/>
        <w:jc w:val="center"/>
        <w:rPr>
          <w:rFonts w:asciiTheme="majorHAnsi" w:hAnsiTheme="majorHAnsi" w:cstheme="majorHAnsi"/>
          <w:sz w:val="32"/>
          <w:szCs w:val="32"/>
        </w:rPr>
      </w:pPr>
      <w:r w:rsidRPr="002F2822">
        <w:rPr>
          <w:rFonts w:asciiTheme="majorHAnsi" w:hAnsiTheme="majorHAnsi" w:cstheme="majorHAnsi"/>
          <w:b/>
          <w:sz w:val="32"/>
          <w:szCs w:val="32"/>
        </w:rPr>
        <w:t>Artificial Intelligence Systems (AIS) Program</w:t>
      </w:r>
    </w:p>
    <w:p w14:paraId="44029D34" w14:textId="2F43CE52" w:rsidR="001145DC" w:rsidRPr="001145DC" w:rsidRDefault="001145DC" w:rsidP="002F2822">
      <w:pPr>
        <w:pStyle w:val="Heading1"/>
        <w:spacing w:before="0" w:line="240" w:lineRule="auto"/>
        <w:rPr>
          <w:rFonts w:cstheme="majorHAnsi"/>
          <w:b w:val="0"/>
          <w:bCs w:val="0"/>
          <w:color w:val="auto"/>
          <w:sz w:val="22"/>
          <w:szCs w:val="22"/>
        </w:rPr>
      </w:pPr>
      <w:r w:rsidRPr="001145DC">
        <w:rPr>
          <w:rFonts w:cstheme="majorHAnsi"/>
          <w:b w:val="0"/>
          <w:bCs w:val="0"/>
          <w:color w:val="auto"/>
          <w:sz w:val="22"/>
          <w:szCs w:val="22"/>
        </w:rPr>
        <w:t xml:space="preserve">Date Last Changed: </w:t>
      </w:r>
    </w:p>
    <w:p w14:paraId="2FBE52A6" w14:textId="620291EA" w:rsidR="001145DC" w:rsidRPr="001145DC" w:rsidRDefault="001145DC" w:rsidP="001145DC">
      <w:r w:rsidRPr="001145DC">
        <w:t>Owner: CIO</w:t>
      </w:r>
    </w:p>
    <w:p w14:paraId="3F3BE5E7" w14:textId="160474D4"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Purpose</w:t>
      </w:r>
    </w:p>
    <w:p w14:paraId="77EFA23C" w14:textId="400E31ED" w:rsidR="00491E29"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The purpose of the </w:t>
      </w:r>
      <w:r w:rsidR="002E2443">
        <w:rPr>
          <w:rFonts w:asciiTheme="majorHAnsi" w:hAnsiTheme="majorHAnsi" w:cstheme="majorHAnsi"/>
        </w:rPr>
        <w:t xml:space="preserve">Bank </w:t>
      </w:r>
      <w:r w:rsidRPr="002F2822">
        <w:rPr>
          <w:rFonts w:asciiTheme="majorHAnsi" w:hAnsiTheme="majorHAnsi" w:cstheme="majorHAnsi"/>
        </w:rPr>
        <w:t xml:space="preserve">Artificial Intelligence Systems (AIS) Program is to establish a formal, practical, and bank-appropriate framework for </w:t>
      </w:r>
      <w:proofErr w:type="gramStart"/>
      <w:r w:rsidRPr="002F2822">
        <w:rPr>
          <w:rFonts w:asciiTheme="majorHAnsi" w:hAnsiTheme="majorHAnsi" w:cstheme="majorHAnsi"/>
        </w:rPr>
        <w:t>the responsible</w:t>
      </w:r>
      <w:proofErr w:type="gramEnd"/>
      <w:r w:rsidRPr="002F2822">
        <w:rPr>
          <w:rFonts w:asciiTheme="majorHAnsi" w:hAnsiTheme="majorHAnsi" w:cstheme="majorHAnsi"/>
        </w:rPr>
        <w:t xml:space="preserve"> governance, risk management, and oversight of Artificial Intelligence (AI) Systems used by the Bank. </w:t>
      </w:r>
      <w:r w:rsidR="002E2443">
        <w:rPr>
          <w:rFonts w:asciiTheme="majorHAnsi" w:hAnsiTheme="majorHAnsi" w:cstheme="majorHAnsi"/>
        </w:rPr>
        <w:t>Bank</w:t>
      </w:r>
      <w:r w:rsidRPr="002F2822">
        <w:rPr>
          <w:rFonts w:asciiTheme="majorHAnsi" w:hAnsiTheme="majorHAnsi" w:cstheme="majorHAnsi"/>
        </w:rPr>
        <w:t xml:space="preserve"> uses AI to help employees work more efficiently, but the Bank treats AI as a tool</w:t>
      </w:r>
      <w:r w:rsidR="002F2822">
        <w:rPr>
          <w:rFonts w:asciiTheme="majorHAnsi" w:hAnsiTheme="majorHAnsi" w:cstheme="majorHAnsi"/>
        </w:rPr>
        <w:t xml:space="preserve">, </w:t>
      </w:r>
      <w:r w:rsidRPr="002F2822">
        <w:rPr>
          <w:rFonts w:asciiTheme="majorHAnsi" w:hAnsiTheme="majorHAnsi" w:cstheme="majorHAnsi"/>
        </w:rPr>
        <w:t>not a decision-maker. This Program exists to ensure AI is used consistently across the Bank, with clear guardrails that protect customers, employees, and the organization. The Program is designed to align with applicable regulatory expectations</w:t>
      </w:r>
      <w:r w:rsidR="002F2822">
        <w:rPr>
          <w:rFonts w:asciiTheme="majorHAnsi" w:hAnsiTheme="majorHAnsi" w:cstheme="majorHAnsi"/>
        </w:rPr>
        <w:t xml:space="preserve"> </w:t>
      </w:r>
      <w:r w:rsidRPr="002F2822">
        <w:rPr>
          <w:rFonts w:asciiTheme="majorHAnsi" w:hAnsiTheme="majorHAnsi" w:cstheme="majorHAnsi"/>
        </w:rPr>
        <w:t>and to ensure the Bank can clearly explain its approach during examinations.</w:t>
      </w:r>
    </w:p>
    <w:p w14:paraId="75B8DA65" w14:textId="77777777" w:rsidR="002F2822" w:rsidRPr="002F2822" w:rsidRDefault="002F2822" w:rsidP="002F2822">
      <w:pPr>
        <w:spacing w:after="0" w:line="240" w:lineRule="auto"/>
        <w:rPr>
          <w:rFonts w:asciiTheme="majorHAnsi" w:hAnsiTheme="majorHAnsi" w:cstheme="majorHAnsi"/>
        </w:rPr>
      </w:pPr>
    </w:p>
    <w:p w14:paraId="3F2FD766" w14:textId="77777777" w:rsidR="00491E29"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In practical terms, this Program defines what AI is approved, what is prohibited, who is accountable, how new AI uses are evaluated before adoption, and what documentation is maintained to demonstrate oversight. The Bank’s approach is intentionally </w:t>
      </w:r>
      <w:proofErr w:type="gramStart"/>
      <w:r w:rsidRPr="002F2822">
        <w:rPr>
          <w:rFonts w:asciiTheme="majorHAnsi" w:hAnsiTheme="majorHAnsi" w:cstheme="majorHAnsi"/>
        </w:rPr>
        <w:t>right-sized</w:t>
      </w:r>
      <w:proofErr w:type="gramEnd"/>
      <w:r w:rsidRPr="002F2822">
        <w:rPr>
          <w:rFonts w:asciiTheme="majorHAnsi" w:hAnsiTheme="majorHAnsi" w:cstheme="majorHAnsi"/>
        </w:rPr>
        <w:t>: it leverages existing governance, security, vendor management, and GRC workflows so the Program is sustainable and consistently executed.</w:t>
      </w:r>
    </w:p>
    <w:p w14:paraId="2C582015" w14:textId="77777777" w:rsidR="002F2822" w:rsidRPr="002F2822" w:rsidRDefault="002F2822" w:rsidP="002F2822">
      <w:pPr>
        <w:spacing w:after="0" w:line="240" w:lineRule="auto"/>
        <w:rPr>
          <w:rFonts w:asciiTheme="majorHAnsi" w:hAnsiTheme="majorHAnsi" w:cstheme="majorHAnsi"/>
        </w:rPr>
      </w:pPr>
    </w:p>
    <w:p w14:paraId="29674AC8"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Program objectives include:</w:t>
      </w:r>
    </w:p>
    <w:p w14:paraId="7AACB59E" w14:textId="48F6C241"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Use AI responsibly with humans in control and accountable for</w:t>
      </w:r>
      <w:r w:rsidR="002F2822">
        <w:rPr>
          <w:rFonts w:asciiTheme="majorHAnsi" w:hAnsiTheme="majorHAnsi" w:cstheme="majorHAnsi"/>
        </w:rPr>
        <w:t xml:space="preserve"> all</w:t>
      </w:r>
      <w:r w:rsidRPr="002F2822">
        <w:rPr>
          <w:rFonts w:asciiTheme="majorHAnsi" w:hAnsiTheme="majorHAnsi" w:cstheme="majorHAnsi"/>
        </w:rPr>
        <w:t xml:space="preserve"> outcomes.</w:t>
      </w:r>
    </w:p>
    <w:p w14:paraId="4EC05BDE" w14:textId="3EFB1F91"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Prevent adverse outcomes by restricting AI use to assistive activities unless expanded controls are approved.</w:t>
      </w:r>
    </w:p>
    <w:p w14:paraId="44913C06"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Protect customer and Bank information through clear data rules, access controls, and training.</w:t>
      </w:r>
    </w:p>
    <w:p w14:paraId="12B88CFF"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Maintain transparency and documentation so AI usage can be explained and evidenced.</w:t>
      </w:r>
    </w:p>
    <w:p w14:paraId="4D05CBCE" w14:textId="77777777" w:rsidR="00491E29"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Remain examiner-ready through inventories, approvals, monitoring records, and governance reporting.</w:t>
      </w:r>
    </w:p>
    <w:p w14:paraId="12635861" w14:textId="77777777" w:rsidR="002F2822" w:rsidRPr="002F2822" w:rsidRDefault="002F2822" w:rsidP="002F2822">
      <w:pPr>
        <w:pStyle w:val="ListBullet"/>
        <w:numPr>
          <w:ilvl w:val="0"/>
          <w:numId w:val="0"/>
        </w:numPr>
        <w:spacing w:after="0" w:line="240" w:lineRule="auto"/>
        <w:rPr>
          <w:rFonts w:asciiTheme="majorHAnsi" w:hAnsiTheme="majorHAnsi" w:cstheme="majorHAnsi"/>
        </w:rPr>
      </w:pPr>
    </w:p>
    <w:p w14:paraId="72688E60" w14:textId="77777777"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 and artifacts</w:t>
      </w:r>
    </w:p>
    <w:p w14:paraId="302AF256"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This AIS Program is the umbrella document that ties together the Bank’s existing AI-related policies, guidance, training, and records. The following documents support and </w:t>
      </w:r>
      <w:proofErr w:type="gramStart"/>
      <w:r w:rsidRPr="002F2822">
        <w:rPr>
          <w:rFonts w:asciiTheme="majorHAnsi" w:hAnsiTheme="majorHAnsi" w:cstheme="majorHAnsi"/>
        </w:rPr>
        <w:t>operationalize</w:t>
      </w:r>
      <w:proofErr w:type="gramEnd"/>
      <w:r w:rsidRPr="002F2822">
        <w:rPr>
          <w:rFonts w:asciiTheme="majorHAnsi" w:hAnsiTheme="majorHAnsi" w:cstheme="majorHAnsi"/>
        </w:rPr>
        <w:t xml:space="preserve"> this Program and are referenced throughout:</w:t>
      </w:r>
    </w:p>
    <w:p w14:paraId="7A9F91A6" w14:textId="3720D3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Usage Policy (policy requirements and guardrails)</w:t>
      </w:r>
    </w:p>
    <w:p w14:paraId="56A38749"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Working Group Charter (governance body, membership, reporting)</w:t>
      </w:r>
    </w:p>
    <w:p w14:paraId="5A89F0A2"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Literacy Training Program (training baseline)</w:t>
      </w:r>
    </w:p>
    <w:p w14:paraId="78E14D04"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Generative AI Prompting Guide (how staff use AI safely and effectively)</w:t>
      </w:r>
    </w:p>
    <w:p w14:paraId="76548E4E"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Guide to Using ChatGPT for Document and Spreadsheet Analysis (practical usage patterns)</w:t>
      </w:r>
    </w:p>
    <w:p w14:paraId="65E89D11" w14:textId="1F24F9A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ChatGPT Workspace Roles (role-based access model)</w:t>
      </w:r>
    </w:p>
    <w:p w14:paraId="27DE76E2"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Risk Assessment (risk evaluation approach)</w:t>
      </w:r>
    </w:p>
    <w:p w14:paraId="1C83908C"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General Bank AI Use Cases (inventory starter / catalog)</w:t>
      </w:r>
    </w:p>
    <w:p w14:paraId="197E81C3" w14:textId="2544CBCA" w:rsidR="002F2822" w:rsidRDefault="002F2822">
      <w:pPr>
        <w:rPr>
          <w:rFonts w:asciiTheme="majorHAnsi" w:eastAsiaTheme="majorEastAsia" w:hAnsiTheme="majorHAnsi" w:cstheme="majorHAnsi"/>
          <w:b/>
          <w:bCs/>
        </w:rPr>
      </w:pPr>
      <w:r>
        <w:rPr>
          <w:rFonts w:cstheme="majorHAnsi"/>
        </w:rPr>
        <w:br w:type="page"/>
      </w:r>
    </w:p>
    <w:p w14:paraId="7E4D1988" w14:textId="7FD80400"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lastRenderedPageBreak/>
        <w:t>Scope and Applicability</w:t>
      </w:r>
    </w:p>
    <w:p w14:paraId="6ED96BF7" w14:textId="7D245364"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This AIS Program applies to all employees, officers, contractors, and third-party service providers who develop, procure, configure, access, or use AI Systems on behalf of </w:t>
      </w:r>
      <w:r w:rsidR="002E2443">
        <w:rPr>
          <w:rFonts w:asciiTheme="majorHAnsi" w:hAnsiTheme="majorHAnsi" w:cstheme="majorHAnsi"/>
        </w:rPr>
        <w:t>Bank</w:t>
      </w:r>
      <w:r w:rsidRPr="002F2822">
        <w:rPr>
          <w:rFonts w:asciiTheme="majorHAnsi" w:hAnsiTheme="majorHAnsi" w:cstheme="majorHAnsi"/>
        </w:rPr>
        <w:t xml:space="preserve"> &amp; Trust. Defining scope prevents uncontrolled or inconsistent adoption of AI capabilities, especially as AI features increasingly appear inside common vendor products. The Bank’s current AI posture is intentionally limited to staff-assistive use cases that improve internal efficiency while preserving human judgment and accountability.</w:t>
      </w:r>
    </w:p>
    <w:p w14:paraId="33DE4654" w14:textId="77777777" w:rsidR="002F2822" w:rsidRDefault="002F2822" w:rsidP="002F2822">
      <w:pPr>
        <w:pStyle w:val="Heading2"/>
        <w:spacing w:before="0" w:line="240" w:lineRule="auto"/>
        <w:rPr>
          <w:rFonts w:cstheme="majorHAnsi"/>
          <w:color w:val="auto"/>
          <w:sz w:val="22"/>
          <w:szCs w:val="22"/>
        </w:rPr>
      </w:pPr>
    </w:p>
    <w:p w14:paraId="260FE2C9" w14:textId="6DD88F4B" w:rsidR="00491E29" w:rsidRPr="002F2822" w:rsidRDefault="002F2822" w:rsidP="002F2822">
      <w:pPr>
        <w:pStyle w:val="Heading2"/>
        <w:spacing w:before="0" w:line="240" w:lineRule="auto"/>
        <w:rPr>
          <w:rFonts w:cstheme="majorHAnsi"/>
          <w:color w:val="auto"/>
          <w:sz w:val="22"/>
          <w:szCs w:val="22"/>
        </w:rPr>
      </w:pPr>
      <w:r>
        <w:rPr>
          <w:rFonts w:cstheme="majorHAnsi"/>
          <w:color w:val="auto"/>
          <w:sz w:val="22"/>
          <w:szCs w:val="22"/>
        </w:rPr>
        <w:t>AI Current State</w:t>
      </w:r>
    </w:p>
    <w:p w14:paraId="4A7BFCD4" w14:textId="1BF2E4FC" w:rsidR="00491E29" w:rsidRPr="002F2822" w:rsidRDefault="002E2443" w:rsidP="002F2822">
      <w:pPr>
        <w:spacing w:after="0" w:line="240" w:lineRule="auto"/>
        <w:rPr>
          <w:rFonts w:asciiTheme="majorHAnsi" w:hAnsiTheme="majorHAnsi" w:cstheme="majorHAnsi"/>
        </w:rPr>
      </w:pPr>
      <w:r>
        <w:rPr>
          <w:rFonts w:asciiTheme="majorHAnsi" w:hAnsiTheme="majorHAnsi" w:cstheme="majorHAnsi"/>
        </w:rPr>
        <w:t>Bank</w:t>
      </w:r>
      <w:r w:rsidR="00243FBD" w:rsidRPr="002F2822">
        <w:rPr>
          <w:rFonts w:asciiTheme="majorHAnsi" w:hAnsiTheme="majorHAnsi" w:cstheme="majorHAnsi"/>
        </w:rPr>
        <w:t xml:space="preserve"> uses AI as an assistant to staff. Current approved use cases include document analysis and summarization, drafting internal content, generating or reviewing code snippets, and supporting compliance and governance work within the Bank’s GRC platform. These tools are used to accelerate work, improve consistency, and help employees analyze information</w:t>
      </w:r>
      <w:r w:rsidR="002F2822">
        <w:rPr>
          <w:rFonts w:asciiTheme="majorHAnsi" w:hAnsiTheme="majorHAnsi" w:cstheme="majorHAnsi"/>
        </w:rPr>
        <w:t xml:space="preserve">, </w:t>
      </w:r>
      <w:r w:rsidR="00243FBD" w:rsidRPr="002F2822">
        <w:rPr>
          <w:rFonts w:asciiTheme="majorHAnsi" w:hAnsiTheme="majorHAnsi" w:cstheme="majorHAnsi"/>
        </w:rPr>
        <w:t>but employees remain responsible for verifying accuracy and suitability before any output is used.</w:t>
      </w:r>
    </w:p>
    <w:p w14:paraId="119F399E"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The Bank’s AI tools do not make decisions for the Bank and do not act autonomously. For example, AI does not:</w:t>
      </w:r>
    </w:p>
    <w:p w14:paraId="24722BC1"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Approve or deny loans or other customer requests.</w:t>
      </w:r>
    </w:p>
    <w:p w14:paraId="4B055E49"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Set pricing, rates, or fees.</w:t>
      </w:r>
    </w:p>
    <w:p w14:paraId="27FEE1D3"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Take actions on customer accounts without a human initiating and approving the action.</w:t>
      </w:r>
    </w:p>
    <w:p w14:paraId="782A242E"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Send customer communications without human review and required approvals.</w:t>
      </w:r>
    </w:p>
    <w:p w14:paraId="5B59772F" w14:textId="77777777" w:rsidR="002F2822" w:rsidRDefault="002F2822" w:rsidP="002F2822">
      <w:pPr>
        <w:pStyle w:val="Heading2"/>
        <w:spacing w:before="0" w:line="240" w:lineRule="auto"/>
        <w:rPr>
          <w:rFonts w:cstheme="majorHAnsi"/>
          <w:color w:val="auto"/>
          <w:sz w:val="22"/>
          <w:szCs w:val="22"/>
        </w:rPr>
      </w:pPr>
    </w:p>
    <w:p w14:paraId="03BAF253" w14:textId="0F405D54"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What We Do Not Do</w:t>
      </w:r>
    </w:p>
    <w:p w14:paraId="35EF0623" w14:textId="595DFF21" w:rsidR="00491E29" w:rsidRPr="002F2822" w:rsidRDefault="00714EC0" w:rsidP="002F2822">
      <w:pPr>
        <w:spacing w:after="0" w:line="240" w:lineRule="auto"/>
        <w:rPr>
          <w:rFonts w:asciiTheme="majorHAnsi" w:hAnsiTheme="majorHAnsi" w:cstheme="majorHAnsi"/>
        </w:rPr>
      </w:pPr>
      <w:r w:rsidRPr="002F2822">
        <w:rPr>
          <w:rFonts w:asciiTheme="majorHAnsi" w:hAnsiTheme="majorHAnsi" w:cstheme="majorHAnsi"/>
        </w:rPr>
        <w:t>Currently</w:t>
      </w:r>
      <w:r w:rsidR="00243FBD" w:rsidRPr="002F2822">
        <w:rPr>
          <w:rFonts w:asciiTheme="majorHAnsi" w:hAnsiTheme="majorHAnsi" w:cstheme="majorHAnsi"/>
        </w:rPr>
        <w:t xml:space="preserve">, </w:t>
      </w:r>
      <w:r w:rsidR="002E2443">
        <w:rPr>
          <w:rFonts w:asciiTheme="majorHAnsi" w:hAnsiTheme="majorHAnsi" w:cstheme="majorHAnsi"/>
        </w:rPr>
        <w:t>Bank</w:t>
      </w:r>
      <w:r w:rsidR="00243FBD" w:rsidRPr="002F2822">
        <w:rPr>
          <w:rFonts w:asciiTheme="majorHAnsi" w:hAnsiTheme="majorHAnsi" w:cstheme="majorHAnsi"/>
        </w:rPr>
        <w:t xml:space="preserve"> does not build or train custom AI or machine learning models, does not use proprietary third-party AI decisioning models, and does not use AI to automate consumer-impacting decisions. The Bank also does not deploy unattended AI ‘agents’ that operate without a human directing and reviewing their work. If the Bank considers any expansion beyond assistive use, the Bank will pause and complete an enhanced review under this Program before implementing changes.</w:t>
      </w:r>
    </w:p>
    <w:p w14:paraId="19194187" w14:textId="77777777" w:rsidR="002F2822" w:rsidRDefault="002F2822" w:rsidP="002F2822">
      <w:pPr>
        <w:pStyle w:val="Heading2"/>
        <w:spacing w:before="0" w:line="240" w:lineRule="auto"/>
        <w:rPr>
          <w:rFonts w:cstheme="majorHAnsi"/>
          <w:color w:val="auto"/>
          <w:sz w:val="22"/>
          <w:szCs w:val="22"/>
        </w:rPr>
      </w:pPr>
    </w:p>
    <w:p w14:paraId="07D77F6B" w14:textId="77777777" w:rsidR="0015611F" w:rsidRPr="0015611F" w:rsidRDefault="0015611F" w:rsidP="0015611F">
      <w:pPr>
        <w:pStyle w:val="Heading2"/>
        <w:spacing w:before="0" w:line="240" w:lineRule="auto"/>
        <w:rPr>
          <w:rFonts w:cstheme="majorHAnsi"/>
          <w:color w:val="auto"/>
          <w:sz w:val="22"/>
          <w:szCs w:val="22"/>
        </w:rPr>
      </w:pPr>
      <w:r w:rsidRPr="0015611F">
        <w:rPr>
          <w:rFonts w:cstheme="majorHAnsi"/>
          <w:color w:val="auto"/>
          <w:sz w:val="22"/>
          <w:szCs w:val="22"/>
        </w:rPr>
        <w:t>Consumer Notification of AI-Assisted Decisioning</w:t>
      </w:r>
    </w:p>
    <w:p w14:paraId="395FB6E7" w14:textId="66C3F044" w:rsidR="0015611F" w:rsidRPr="0015611F" w:rsidRDefault="0015611F" w:rsidP="0015611F">
      <w:pPr>
        <w:spacing w:after="0" w:line="240" w:lineRule="auto"/>
        <w:rPr>
          <w:rFonts w:cs="Calibri"/>
        </w:rPr>
      </w:pPr>
      <w:r w:rsidRPr="0015611F">
        <w:rPr>
          <w:rFonts w:cs="Calibri"/>
        </w:rPr>
        <w:t xml:space="preserve">When artificial intelligence (AI) or machine learning (ML) technology is used in a consumer-facing decision, </w:t>
      </w:r>
      <w:r>
        <w:rPr>
          <w:rFonts w:cs="Calibri"/>
        </w:rPr>
        <w:t xml:space="preserve">the Bank </w:t>
      </w:r>
      <w:r w:rsidR="00714EC0">
        <w:rPr>
          <w:rFonts w:cs="Calibri"/>
        </w:rPr>
        <w:t xml:space="preserve">will </w:t>
      </w:r>
      <w:r w:rsidR="00714EC0" w:rsidRPr="0015611F">
        <w:rPr>
          <w:rFonts w:cs="Calibri"/>
        </w:rPr>
        <w:t>provide</w:t>
      </w:r>
      <w:r w:rsidRPr="0015611F">
        <w:rPr>
          <w:rFonts w:cs="Calibri"/>
        </w:rPr>
        <w:t xml:space="preserve"> the consumer with clear, timely, and conspicuous notification that AI was used in the decision process. This requirement applies to all AI-assisted decisions, including approvals, denials, modifications, and other determinations, regardless of whether the outcome is favorable or adverse to the consumer.</w:t>
      </w:r>
    </w:p>
    <w:p w14:paraId="7753FE18" w14:textId="77777777" w:rsidR="0015611F" w:rsidRDefault="0015611F" w:rsidP="0015611F">
      <w:pPr>
        <w:pStyle w:val="Heading2"/>
        <w:spacing w:before="0" w:line="240" w:lineRule="auto"/>
        <w:rPr>
          <w:rFonts w:ascii="Calibri" w:hAnsi="Calibri" w:cs="Calibri"/>
          <w:color w:val="auto"/>
        </w:rPr>
      </w:pPr>
    </w:p>
    <w:p w14:paraId="27F890F7" w14:textId="2A0E07F5" w:rsidR="0015611F" w:rsidRPr="0015611F" w:rsidRDefault="0015611F" w:rsidP="0015611F">
      <w:pPr>
        <w:pStyle w:val="Heading2"/>
        <w:spacing w:before="0" w:line="240" w:lineRule="auto"/>
        <w:rPr>
          <w:rFonts w:ascii="Calibri" w:hAnsi="Calibri" w:cs="Calibri"/>
          <w:b w:val="0"/>
          <w:bCs w:val="0"/>
          <w:color w:val="auto"/>
          <w:sz w:val="22"/>
          <w:szCs w:val="22"/>
        </w:rPr>
      </w:pPr>
      <w:r w:rsidRPr="0015611F">
        <w:rPr>
          <w:rFonts w:ascii="Calibri" w:hAnsi="Calibri" w:cs="Calibri"/>
          <w:b w:val="0"/>
          <w:bCs w:val="0"/>
          <w:color w:val="auto"/>
          <w:sz w:val="22"/>
          <w:szCs w:val="22"/>
        </w:rPr>
        <w:t>Notification Methods</w:t>
      </w:r>
    </w:p>
    <w:p w14:paraId="05DE0D6E" w14:textId="77777777" w:rsidR="0015611F" w:rsidRPr="0015611F" w:rsidRDefault="0015611F" w:rsidP="0015611F">
      <w:pPr>
        <w:spacing w:after="0" w:line="240" w:lineRule="auto"/>
        <w:rPr>
          <w:rFonts w:cs="Calibri"/>
        </w:rPr>
      </w:pPr>
      <w:r w:rsidRPr="0015611F">
        <w:rPr>
          <w:rFonts w:cs="Calibri"/>
          <w:b/>
          <w:bCs/>
        </w:rPr>
        <w:t xml:space="preserve">Adverse Action and Decision Notices. </w:t>
      </w:r>
      <w:r w:rsidRPr="0015611F">
        <w:rPr>
          <w:rFonts w:cs="Calibri"/>
        </w:rPr>
        <w:t>For credit decisions and other actions requiring a written notice under ECOA/Regulation B or FCRA, the Institution shall include a supplemental disclosure statement within the existing notice. This statement shall include a plain-language explanation that AI or automated decision-making technology was used as a factor in the decision, the specific principal reasons for the action taken as required by applicable law, and a statement that the consumer may request additional information or human review of the decision along with contact information for doing so.</w:t>
      </w:r>
    </w:p>
    <w:p w14:paraId="1F4E6ED5" w14:textId="77777777" w:rsidR="0015611F" w:rsidRDefault="0015611F" w:rsidP="0015611F">
      <w:pPr>
        <w:spacing w:after="0" w:line="240" w:lineRule="auto"/>
        <w:rPr>
          <w:rFonts w:cs="Calibri"/>
          <w:b/>
          <w:bCs/>
        </w:rPr>
      </w:pPr>
    </w:p>
    <w:p w14:paraId="32B5E331" w14:textId="2677A8F0" w:rsidR="0015611F" w:rsidRDefault="0015611F" w:rsidP="0015611F">
      <w:pPr>
        <w:spacing w:after="0" w:line="240" w:lineRule="auto"/>
        <w:rPr>
          <w:rFonts w:cs="Calibri"/>
        </w:rPr>
      </w:pPr>
      <w:r w:rsidRPr="0015611F">
        <w:rPr>
          <w:rFonts w:cs="Calibri"/>
          <w:b/>
          <w:bCs/>
        </w:rPr>
        <w:t xml:space="preserve">Application and Onboarding Disclosures. </w:t>
      </w:r>
      <w:r w:rsidRPr="0015611F">
        <w:rPr>
          <w:rFonts w:cs="Calibri"/>
        </w:rPr>
        <w:t xml:space="preserve">At the point of application or account opening, the Institution shall include a disclosure within the application materials, terms and conditions, or </w:t>
      </w:r>
      <w:r w:rsidRPr="0015611F">
        <w:rPr>
          <w:rFonts w:cs="Calibri"/>
        </w:rPr>
        <w:lastRenderedPageBreak/>
        <w:t xml:space="preserve">onboarding workflow informing the consumer that AI or automated technology may be used in evaluating their application or </w:t>
      </w:r>
      <w:proofErr w:type="gramStart"/>
      <w:r>
        <w:rPr>
          <w:rFonts w:cs="Calibri"/>
        </w:rPr>
        <w:t>manage</w:t>
      </w:r>
      <w:proofErr w:type="gramEnd"/>
      <w:r>
        <w:rPr>
          <w:rFonts w:cs="Calibri"/>
        </w:rPr>
        <w:t xml:space="preserve"> decisions about their account</w:t>
      </w:r>
      <w:r w:rsidRPr="0015611F">
        <w:rPr>
          <w:rFonts w:cs="Calibri"/>
        </w:rPr>
        <w:t>. This disclosure must be conspicuous and presented in plain language before the consumer submits their application or enters into the agreement.</w:t>
      </w:r>
    </w:p>
    <w:p w14:paraId="1A07BE8B" w14:textId="77777777" w:rsidR="0015611F" w:rsidRPr="0015611F" w:rsidRDefault="0015611F" w:rsidP="0015611F">
      <w:pPr>
        <w:spacing w:after="0" w:line="240" w:lineRule="auto"/>
        <w:rPr>
          <w:rFonts w:cs="Calibri"/>
        </w:rPr>
      </w:pPr>
    </w:p>
    <w:p w14:paraId="06D9AB6A" w14:textId="77777777" w:rsidR="0015611F" w:rsidRPr="0015611F" w:rsidRDefault="0015611F" w:rsidP="0015611F">
      <w:pPr>
        <w:spacing w:after="0" w:line="240" w:lineRule="auto"/>
        <w:rPr>
          <w:rFonts w:cs="Calibri"/>
        </w:rPr>
      </w:pPr>
      <w:r w:rsidRPr="0015611F">
        <w:rPr>
          <w:rFonts w:cs="Calibri"/>
          <w:b/>
          <w:bCs/>
        </w:rPr>
        <w:t xml:space="preserve">Digital Channel Notifications. </w:t>
      </w:r>
      <w:r w:rsidRPr="0015611F">
        <w:rPr>
          <w:rFonts w:cs="Calibri"/>
        </w:rPr>
        <w:t xml:space="preserve">For decisions communicated through digital channels such as online banking, mobile applications, or email, the Institution shall include an in-line notification at the </w:t>
      </w:r>
      <w:proofErr w:type="gramStart"/>
      <w:r w:rsidRPr="0015611F">
        <w:rPr>
          <w:rFonts w:cs="Calibri"/>
        </w:rPr>
        <w:t>point</w:t>
      </w:r>
      <w:proofErr w:type="gramEnd"/>
      <w:r w:rsidRPr="0015611F">
        <w:rPr>
          <w:rFonts w:cs="Calibri"/>
        </w:rPr>
        <w:t xml:space="preserve"> the decision is communicated. This may take the form of a banner or callout within the digital interface, a clearly labeled section within a decision notification email or secure message, or a persistent disclosure within account settings acknowledging that AI-assisted decisioning may be applied to the consumer’s account.</w:t>
      </w:r>
    </w:p>
    <w:p w14:paraId="599EFCCF" w14:textId="77777777" w:rsidR="0015611F" w:rsidRDefault="0015611F" w:rsidP="0015611F">
      <w:pPr>
        <w:pStyle w:val="Heading2"/>
        <w:spacing w:before="0" w:line="240" w:lineRule="auto"/>
        <w:rPr>
          <w:rFonts w:ascii="Calibri" w:hAnsi="Calibri" w:cs="Calibri"/>
          <w:color w:val="auto"/>
        </w:rPr>
      </w:pPr>
    </w:p>
    <w:p w14:paraId="2D613E4F" w14:textId="36258D00" w:rsidR="0015611F" w:rsidRPr="0015611F" w:rsidRDefault="0015611F" w:rsidP="0015611F">
      <w:pPr>
        <w:pStyle w:val="Heading2"/>
        <w:spacing w:before="0" w:line="240" w:lineRule="auto"/>
        <w:rPr>
          <w:rFonts w:ascii="Calibri" w:hAnsi="Calibri" w:cs="Calibri"/>
          <w:color w:val="auto"/>
          <w:sz w:val="22"/>
          <w:szCs w:val="22"/>
        </w:rPr>
      </w:pPr>
      <w:r w:rsidRPr="0015611F">
        <w:rPr>
          <w:rFonts w:ascii="Calibri" w:hAnsi="Calibri" w:cs="Calibri"/>
          <w:color w:val="auto"/>
          <w:sz w:val="22"/>
          <w:szCs w:val="22"/>
        </w:rPr>
        <w:t>Consumer Notice and Transparency Log</w:t>
      </w:r>
    </w:p>
    <w:p w14:paraId="06A0193F" w14:textId="660E2219" w:rsidR="0015611F" w:rsidRPr="0015611F" w:rsidRDefault="0015611F" w:rsidP="0015611F">
      <w:pPr>
        <w:spacing w:after="0" w:line="240" w:lineRule="auto"/>
        <w:rPr>
          <w:rFonts w:cs="Calibri"/>
        </w:rPr>
      </w:pPr>
      <w:r w:rsidRPr="0015611F">
        <w:rPr>
          <w:rFonts w:cs="Calibri"/>
        </w:rPr>
        <w:t>Each consumer notification issued under this section shall be recorded in the Institution’s Consumer Notice and Transparency Log. The Log shall be accessible to Compliance, Internal Audit, and Risk Management personnel, and available for review by regulatory examiners upon request.</w:t>
      </w:r>
    </w:p>
    <w:p w14:paraId="479110BE" w14:textId="77777777" w:rsidR="0015611F" w:rsidRDefault="0015611F" w:rsidP="002F2822">
      <w:pPr>
        <w:pStyle w:val="Heading2"/>
        <w:spacing w:before="0" w:line="240" w:lineRule="auto"/>
        <w:rPr>
          <w:rFonts w:cstheme="majorHAnsi"/>
          <w:color w:val="auto"/>
          <w:sz w:val="22"/>
          <w:szCs w:val="22"/>
        </w:rPr>
      </w:pPr>
    </w:p>
    <w:p w14:paraId="2DCB3818" w14:textId="057DD640"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Systems Covered</w:t>
      </w:r>
    </w:p>
    <w:p w14:paraId="6833C037" w14:textId="18005B6D" w:rsidR="00491E29" w:rsidRDefault="00243FBD" w:rsidP="002F2822">
      <w:pPr>
        <w:spacing w:after="0" w:line="240" w:lineRule="auto"/>
        <w:rPr>
          <w:rFonts w:asciiTheme="majorHAnsi" w:hAnsiTheme="majorHAnsi" w:cstheme="majorHAnsi"/>
        </w:rPr>
      </w:pPr>
      <w:r w:rsidRPr="002F2822">
        <w:rPr>
          <w:rFonts w:asciiTheme="majorHAnsi" w:hAnsiTheme="majorHAnsi" w:cstheme="majorHAnsi"/>
        </w:rPr>
        <w:t>This Program covers any AI capabilities used by the Bank and any future AI tools proposed for adoption</w:t>
      </w:r>
      <w:r w:rsidR="002F2822">
        <w:rPr>
          <w:rFonts w:asciiTheme="majorHAnsi" w:hAnsiTheme="majorHAnsi" w:cstheme="majorHAnsi"/>
        </w:rPr>
        <w:t xml:space="preserve">, </w:t>
      </w:r>
      <w:r w:rsidRPr="002F2822">
        <w:rPr>
          <w:rFonts w:asciiTheme="majorHAnsi" w:hAnsiTheme="majorHAnsi" w:cstheme="majorHAnsi"/>
        </w:rPr>
        <w:t>including embedded AI features within vendor products.</w:t>
      </w:r>
    </w:p>
    <w:p w14:paraId="44AD5F78" w14:textId="77777777" w:rsidR="002F2822" w:rsidRPr="002F2822" w:rsidRDefault="002F2822" w:rsidP="002F2822">
      <w:pPr>
        <w:spacing w:after="0" w:line="240" w:lineRule="auto"/>
        <w:rPr>
          <w:rFonts w:asciiTheme="majorHAnsi" w:hAnsiTheme="majorHAnsi" w:cstheme="majorHAnsi"/>
        </w:rPr>
      </w:pPr>
    </w:p>
    <w:p w14:paraId="2461F378" w14:textId="7A607859"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Human in Charge Standard</w:t>
      </w:r>
    </w:p>
    <w:p w14:paraId="5CC6153D" w14:textId="63A0B0A0"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For every AI use case at </w:t>
      </w:r>
      <w:r w:rsidR="002E2443">
        <w:rPr>
          <w:rFonts w:asciiTheme="majorHAnsi" w:hAnsiTheme="majorHAnsi" w:cstheme="majorHAnsi"/>
        </w:rPr>
        <w:t>Bank</w:t>
      </w:r>
      <w:r w:rsidRPr="002F2822">
        <w:rPr>
          <w:rFonts w:asciiTheme="majorHAnsi" w:hAnsiTheme="majorHAnsi" w:cstheme="majorHAnsi"/>
        </w:rPr>
        <w:t xml:space="preserve">, the Bank follows a ‘human in charge’ standard: a human initiates the task, reviews the output, decides what to do next, and remains accountable for the result. This is the single most important control in the Bank’s current </w:t>
      </w:r>
      <w:r w:rsidR="002F2822">
        <w:rPr>
          <w:rFonts w:asciiTheme="majorHAnsi" w:hAnsiTheme="majorHAnsi" w:cstheme="majorHAnsi"/>
        </w:rPr>
        <w:t>AI</w:t>
      </w:r>
      <w:r w:rsidRPr="002F2822">
        <w:rPr>
          <w:rFonts w:asciiTheme="majorHAnsi" w:hAnsiTheme="majorHAnsi" w:cstheme="majorHAnsi"/>
        </w:rPr>
        <w:t xml:space="preserve"> environment and is reinforced through training, policy, and supervision.</w:t>
      </w:r>
    </w:p>
    <w:p w14:paraId="12CBC6B0" w14:textId="5FF6D551" w:rsidR="00831B20" w:rsidRDefault="00831B20">
      <w:pPr>
        <w:rPr>
          <w:rFonts w:asciiTheme="majorHAnsi" w:eastAsiaTheme="majorEastAsia" w:hAnsiTheme="majorHAnsi" w:cstheme="majorHAnsi"/>
          <w:b/>
          <w:bCs/>
        </w:rPr>
      </w:pPr>
      <w:r>
        <w:rPr>
          <w:rFonts w:cstheme="majorHAnsi"/>
        </w:rPr>
        <w:br w:type="page"/>
      </w:r>
    </w:p>
    <w:p w14:paraId="3629AC6A" w14:textId="4942AC34"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lastRenderedPageBreak/>
        <w:t>Definitions</w:t>
      </w:r>
    </w:p>
    <w:p w14:paraId="77C81D85"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AI terms are used inconsistently across vendors, media, and even regulators. The Bank uses clear, plain-language definitions so employees, auditors, and examiners interpret this Program consistently. These definitions are also used when evaluating whether a new tool or vendor feature falls under AIS Program requirements.</w:t>
      </w:r>
    </w:p>
    <w:tbl>
      <w:tblPr>
        <w:tblStyle w:val="LightList"/>
        <w:tblW w:w="9360" w:type="dxa"/>
        <w:tblLook w:val="0000" w:firstRow="0" w:lastRow="0" w:firstColumn="0" w:lastColumn="0" w:noHBand="0" w:noVBand="0"/>
      </w:tblPr>
      <w:tblGrid>
        <w:gridCol w:w="2800"/>
        <w:gridCol w:w="6560"/>
      </w:tblGrid>
      <w:tr w:rsidR="009911B1" w:rsidRPr="003C0871" w14:paraId="0A29CB00"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00" w:type="dxa"/>
          </w:tcPr>
          <w:p w14:paraId="2E18475E" w14:textId="77777777" w:rsidR="009911B1" w:rsidRPr="003C0871" w:rsidRDefault="009911B1" w:rsidP="00361124">
            <w:pPr>
              <w:rPr>
                <w:rFonts w:cs="Calibri"/>
                <w:color w:val="000000" w:themeColor="text1"/>
              </w:rPr>
            </w:pPr>
            <w:r w:rsidRPr="003C0871">
              <w:rPr>
                <w:rFonts w:eastAsia="Arial" w:cs="Calibri"/>
                <w:b/>
                <w:bCs/>
                <w:color w:val="000000" w:themeColor="text1"/>
              </w:rPr>
              <w:t>Term</w:t>
            </w:r>
          </w:p>
        </w:tc>
        <w:tc>
          <w:tcPr>
            <w:tcW w:w="6560" w:type="dxa"/>
          </w:tcPr>
          <w:p w14:paraId="7476BC7C"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b/>
                <w:bCs/>
                <w:color w:val="000000" w:themeColor="text1"/>
              </w:rPr>
              <w:t>Definition</w:t>
            </w:r>
          </w:p>
        </w:tc>
      </w:tr>
      <w:tr w:rsidR="009911B1" w:rsidRPr="003C0871" w14:paraId="71BC6969" w14:textId="77777777" w:rsidTr="00361124">
        <w:tc>
          <w:tcPr>
            <w:cnfStyle w:val="000010000000" w:firstRow="0" w:lastRow="0" w:firstColumn="0" w:lastColumn="0" w:oddVBand="1" w:evenVBand="0" w:oddHBand="0" w:evenHBand="0" w:firstRowFirstColumn="0" w:firstRowLastColumn="0" w:lastRowFirstColumn="0" w:lastRowLastColumn="0"/>
            <w:tcW w:w="2800" w:type="dxa"/>
          </w:tcPr>
          <w:p w14:paraId="005D6C7C" w14:textId="77777777" w:rsidR="009911B1" w:rsidRPr="003C0871" w:rsidRDefault="009911B1" w:rsidP="00361124">
            <w:pPr>
              <w:rPr>
                <w:rFonts w:cs="Calibri"/>
                <w:color w:val="000000" w:themeColor="text1"/>
              </w:rPr>
            </w:pPr>
            <w:r w:rsidRPr="003C0871">
              <w:rPr>
                <w:rFonts w:eastAsia="Arial" w:cs="Calibri"/>
                <w:b/>
                <w:bCs/>
                <w:color w:val="000000" w:themeColor="text1"/>
              </w:rPr>
              <w:t>Artificial Intelligence (AI)</w:t>
            </w:r>
          </w:p>
        </w:tc>
        <w:tc>
          <w:tcPr>
            <w:tcW w:w="6560" w:type="dxa"/>
          </w:tcPr>
          <w:p w14:paraId="1B178E57"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Technology that can generate text, analysis, recommendations, or code based on inputs and learned patterns.</w:t>
            </w:r>
          </w:p>
        </w:tc>
      </w:tr>
      <w:tr w:rsidR="009911B1" w:rsidRPr="003C0871" w14:paraId="31B70A71"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00" w:type="dxa"/>
          </w:tcPr>
          <w:p w14:paraId="6424C625" w14:textId="77777777" w:rsidR="009911B1" w:rsidRPr="003C0871" w:rsidRDefault="009911B1" w:rsidP="00361124">
            <w:pPr>
              <w:rPr>
                <w:rFonts w:cs="Calibri"/>
                <w:color w:val="000000" w:themeColor="text1"/>
              </w:rPr>
            </w:pPr>
            <w:r w:rsidRPr="003C0871">
              <w:rPr>
                <w:rFonts w:eastAsia="Arial" w:cs="Calibri"/>
                <w:b/>
                <w:bCs/>
                <w:color w:val="000000" w:themeColor="text1"/>
              </w:rPr>
              <w:t>AI System</w:t>
            </w:r>
          </w:p>
        </w:tc>
        <w:tc>
          <w:tcPr>
            <w:tcW w:w="6560" w:type="dxa"/>
          </w:tcPr>
          <w:p w14:paraId="71D273F2"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color w:val="000000" w:themeColor="text1"/>
              </w:rPr>
              <w:t>Any application or platform that includes AI capabilities, including generative AI, predictive models, decision-support tools, and agentic AI.</w:t>
            </w:r>
          </w:p>
        </w:tc>
      </w:tr>
      <w:tr w:rsidR="009911B1" w:rsidRPr="003C0871" w14:paraId="2007E525" w14:textId="77777777" w:rsidTr="00361124">
        <w:tc>
          <w:tcPr>
            <w:cnfStyle w:val="000010000000" w:firstRow="0" w:lastRow="0" w:firstColumn="0" w:lastColumn="0" w:oddVBand="1" w:evenVBand="0" w:oddHBand="0" w:evenHBand="0" w:firstRowFirstColumn="0" w:firstRowLastColumn="0" w:lastRowFirstColumn="0" w:lastRowLastColumn="0"/>
            <w:tcW w:w="2800" w:type="dxa"/>
          </w:tcPr>
          <w:p w14:paraId="561870E2" w14:textId="77777777" w:rsidR="009911B1" w:rsidRPr="003C0871" w:rsidRDefault="009911B1" w:rsidP="00361124">
            <w:pPr>
              <w:rPr>
                <w:rFonts w:cs="Calibri"/>
                <w:color w:val="000000" w:themeColor="text1"/>
              </w:rPr>
            </w:pPr>
            <w:r w:rsidRPr="003C0871">
              <w:rPr>
                <w:rFonts w:eastAsia="Arial" w:cs="Calibri"/>
                <w:b/>
                <w:bCs/>
                <w:color w:val="000000" w:themeColor="text1"/>
              </w:rPr>
              <w:t>Generative AI</w:t>
            </w:r>
          </w:p>
        </w:tc>
        <w:tc>
          <w:tcPr>
            <w:tcW w:w="6560" w:type="dxa"/>
          </w:tcPr>
          <w:p w14:paraId="02AF7428"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AI that creates new content such as text, images, audio, video, or code in response to user prompts.</w:t>
            </w:r>
          </w:p>
        </w:tc>
      </w:tr>
      <w:tr w:rsidR="009911B1" w:rsidRPr="003C0871" w14:paraId="2ED5BAE5"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00" w:type="dxa"/>
          </w:tcPr>
          <w:p w14:paraId="69EE8246" w14:textId="77777777" w:rsidR="009911B1" w:rsidRPr="003C0871" w:rsidRDefault="009911B1" w:rsidP="00361124">
            <w:pPr>
              <w:rPr>
                <w:rFonts w:cs="Calibri"/>
                <w:color w:val="000000" w:themeColor="text1"/>
              </w:rPr>
            </w:pPr>
            <w:r w:rsidRPr="003C0871">
              <w:rPr>
                <w:rFonts w:eastAsia="Arial" w:cs="Calibri"/>
                <w:b/>
                <w:bCs/>
                <w:color w:val="000000" w:themeColor="text1"/>
              </w:rPr>
              <w:t>Predictive / Analytical Model</w:t>
            </w:r>
          </w:p>
        </w:tc>
        <w:tc>
          <w:tcPr>
            <w:tcW w:w="6560" w:type="dxa"/>
          </w:tcPr>
          <w:p w14:paraId="7E08B35C"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color w:val="000000" w:themeColor="text1"/>
              </w:rPr>
              <w:t>An AI or machine learning model that analyzes data to identify patterns, generate scores, forecasts, or classifications used to inform or support decisions.</w:t>
            </w:r>
          </w:p>
        </w:tc>
      </w:tr>
      <w:tr w:rsidR="009911B1" w:rsidRPr="003C0871" w14:paraId="710ADDD0" w14:textId="77777777" w:rsidTr="00361124">
        <w:tc>
          <w:tcPr>
            <w:cnfStyle w:val="000010000000" w:firstRow="0" w:lastRow="0" w:firstColumn="0" w:lastColumn="0" w:oddVBand="1" w:evenVBand="0" w:oddHBand="0" w:evenHBand="0" w:firstRowFirstColumn="0" w:firstRowLastColumn="0" w:lastRowFirstColumn="0" w:lastRowLastColumn="0"/>
            <w:tcW w:w="2800" w:type="dxa"/>
          </w:tcPr>
          <w:p w14:paraId="586FC160" w14:textId="77777777" w:rsidR="009911B1" w:rsidRPr="003C0871" w:rsidRDefault="009911B1" w:rsidP="00361124">
            <w:pPr>
              <w:rPr>
                <w:rFonts w:cs="Calibri"/>
                <w:color w:val="000000" w:themeColor="text1"/>
              </w:rPr>
            </w:pPr>
            <w:r w:rsidRPr="003C0871">
              <w:rPr>
                <w:rFonts w:eastAsia="Arial" w:cs="Calibri"/>
                <w:b/>
                <w:bCs/>
                <w:color w:val="000000" w:themeColor="text1"/>
              </w:rPr>
              <w:t>Agentic AI</w:t>
            </w:r>
          </w:p>
        </w:tc>
        <w:tc>
          <w:tcPr>
            <w:tcW w:w="6560" w:type="dxa"/>
          </w:tcPr>
          <w:p w14:paraId="525A6614"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AI that can plan, execute multi-step tasks, use tools, and take actions with a degree of autonomy beyond single-prompt interaction. Agentic AI may operate with reduced human intervention between steps.</w:t>
            </w:r>
          </w:p>
        </w:tc>
      </w:tr>
      <w:tr w:rsidR="009911B1" w:rsidRPr="003C0871" w14:paraId="3640BDBA"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00" w:type="dxa"/>
          </w:tcPr>
          <w:p w14:paraId="48EC5884" w14:textId="77777777" w:rsidR="009911B1" w:rsidRPr="003C0871" w:rsidRDefault="009911B1" w:rsidP="00361124">
            <w:pPr>
              <w:rPr>
                <w:rFonts w:cs="Calibri"/>
                <w:color w:val="000000" w:themeColor="text1"/>
              </w:rPr>
            </w:pPr>
            <w:r w:rsidRPr="003C0871">
              <w:rPr>
                <w:rFonts w:eastAsia="Arial" w:cs="Calibri"/>
                <w:b/>
                <w:bCs/>
                <w:color w:val="000000" w:themeColor="text1"/>
              </w:rPr>
              <w:t>Adverse Consumer Outcome</w:t>
            </w:r>
          </w:p>
        </w:tc>
        <w:tc>
          <w:tcPr>
            <w:tcW w:w="6560" w:type="dxa"/>
          </w:tcPr>
          <w:p w14:paraId="2E0CA5C8"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color w:val="000000" w:themeColor="text1"/>
              </w:rPr>
              <w:t>A result that harms a consumer or violates regulatory standards, including unfair treatment, discrimination, inaccurate or misleading information, improper disclosures, or privacy violations.</w:t>
            </w:r>
          </w:p>
        </w:tc>
      </w:tr>
      <w:tr w:rsidR="009911B1" w:rsidRPr="003C0871" w14:paraId="15E52578" w14:textId="77777777" w:rsidTr="00361124">
        <w:tc>
          <w:tcPr>
            <w:cnfStyle w:val="000010000000" w:firstRow="0" w:lastRow="0" w:firstColumn="0" w:lastColumn="0" w:oddVBand="1" w:evenVBand="0" w:oddHBand="0" w:evenHBand="0" w:firstRowFirstColumn="0" w:firstRowLastColumn="0" w:lastRowFirstColumn="0" w:lastRowLastColumn="0"/>
            <w:tcW w:w="2800" w:type="dxa"/>
          </w:tcPr>
          <w:p w14:paraId="6CBB5AC4" w14:textId="77777777" w:rsidR="009911B1" w:rsidRPr="003C0871" w:rsidRDefault="009911B1" w:rsidP="00361124">
            <w:pPr>
              <w:rPr>
                <w:rFonts w:cs="Calibri"/>
                <w:color w:val="000000" w:themeColor="text1"/>
              </w:rPr>
            </w:pPr>
            <w:r w:rsidRPr="003C0871">
              <w:rPr>
                <w:rFonts w:eastAsia="Arial" w:cs="Calibri"/>
                <w:b/>
                <w:bCs/>
                <w:color w:val="000000" w:themeColor="text1"/>
              </w:rPr>
              <w:t>Third-Party AI</w:t>
            </w:r>
          </w:p>
        </w:tc>
        <w:tc>
          <w:tcPr>
            <w:tcW w:w="6560" w:type="dxa"/>
          </w:tcPr>
          <w:p w14:paraId="6A95F501"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AI capabilities provided by vendors or external service providers, including embedded AI features within existing vendor products.</w:t>
            </w:r>
          </w:p>
        </w:tc>
      </w:tr>
      <w:tr w:rsidR="009911B1" w:rsidRPr="003C0871" w14:paraId="56BA83C1"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00" w:type="dxa"/>
          </w:tcPr>
          <w:p w14:paraId="12DB3AF9" w14:textId="77777777" w:rsidR="009911B1" w:rsidRPr="003C0871" w:rsidRDefault="009911B1" w:rsidP="00361124">
            <w:pPr>
              <w:rPr>
                <w:rFonts w:cs="Calibri"/>
                <w:color w:val="000000" w:themeColor="text1"/>
              </w:rPr>
            </w:pPr>
            <w:r w:rsidRPr="003C0871">
              <w:rPr>
                <w:rFonts w:eastAsia="Arial" w:cs="Calibri"/>
                <w:b/>
                <w:bCs/>
                <w:color w:val="000000" w:themeColor="text1"/>
              </w:rPr>
              <w:t>Human</w:t>
            </w:r>
            <w:r>
              <w:rPr>
                <w:rFonts w:eastAsia="Arial" w:cs="Calibri"/>
                <w:b/>
                <w:bCs/>
                <w:color w:val="000000" w:themeColor="text1"/>
              </w:rPr>
              <w:t>-</w:t>
            </w:r>
            <w:r w:rsidRPr="003C0871">
              <w:rPr>
                <w:rFonts w:eastAsia="Arial" w:cs="Calibri"/>
                <w:b/>
                <w:bCs/>
                <w:color w:val="000000" w:themeColor="text1"/>
              </w:rPr>
              <w:t>in</w:t>
            </w:r>
            <w:r>
              <w:rPr>
                <w:rFonts w:eastAsia="Arial" w:cs="Calibri"/>
                <w:b/>
                <w:bCs/>
                <w:color w:val="000000" w:themeColor="text1"/>
              </w:rPr>
              <w:t>-</w:t>
            </w:r>
            <w:r w:rsidRPr="003C0871">
              <w:rPr>
                <w:rFonts w:eastAsia="Arial" w:cs="Calibri"/>
                <w:b/>
                <w:bCs/>
                <w:color w:val="000000" w:themeColor="text1"/>
              </w:rPr>
              <w:t>Charge</w:t>
            </w:r>
          </w:p>
        </w:tc>
        <w:tc>
          <w:tcPr>
            <w:tcW w:w="6560" w:type="dxa"/>
          </w:tcPr>
          <w:p w14:paraId="7F7215C8"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color w:val="000000" w:themeColor="text1"/>
              </w:rPr>
              <w:t>The Bank’s standard requiring that a human initiates the task, reviews the output, decides what to do next, and remains accountable for the result.</w:t>
            </w:r>
          </w:p>
        </w:tc>
      </w:tr>
    </w:tbl>
    <w:p w14:paraId="66CFF529" w14:textId="77777777" w:rsidR="00831B20" w:rsidRDefault="00831B20" w:rsidP="002F2822">
      <w:pPr>
        <w:pStyle w:val="Heading1"/>
        <w:spacing w:before="0" w:line="240" w:lineRule="auto"/>
        <w:rPr>
          <w:rFonts w:cstheme="majorHAnsi"/>
          <w:color w:val="auto"/>
          <w:sz w:val="22"/>
          <w:szCs w:val="22"/>
        </w:rPr>
      </w:pPr>
    </w:p>
    <w:p w14:paraId="1F6121A5" w14:textId="332D2ACE"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AIS Governance and Accountability</w:t>
      </w:r>
    </w:p>
    <w:p w14:paraId="6C54714F" w14:textId="1DB90178"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Governance ensures AI is not used informally, inconsistently, or without oversight. Because </w:t>
      </w:r>
      <w:r w:rsidR="002E2443">
        <w:rPr>
          <w:rFonts w:asciiTheme="majorHAnsi" w:hAnsiTheme="majorHAnsi" w:cstheme="majorHAnsi"/>
        </w:rPr>
        <w:t>Bank</w:t>
      </w:r>
      <w:r w:rsidRPr="002F2822">
        <w:rPr>
          <w:rFonts w:asciiTheme="majorHAnsi" w:hAnsiTheme="majorHAnsi" w:cstheme="majorHAnsi"/>
        </w:rPr>
        <w:t xml:space="preserve"> is a community bank, our governance approach must be strong enough to satisfy regulators but also simple enough to execute consistently. The Bank assigns program ownership to the CIO and designates the AI Working Group (AIWG) as the cross-functional oversight body. The AIWG provides a structured, repeatable review process for AI tools and use cases, and ensures accountability across IT, security, risk, compliance, and business leadership.</w:t>
      </w:r>
    </w:p>
    <w:p w14:paraId="5328C02F" w14:textId="77777777" w:rsidR="00831B20" w:rsidRDefault="00831B20" w:rsidP="002F2822">
      <w:pPr>
        <w:pStyle w:val="Heading2"/>
        <w:spacing w:before="0" w:line="240" w:lineRule="auto"/>
        <w:rPr>
          <w:rFonts w:cstheme="majorHAnsi"/>
          <w:color w:val="auto"/>
          <w:sz w:val="22"/>
          <w:szCs w:val="22"/>
        </w:rPr>
      </w:pPr>
    </w:p>
    <w:p w14:paraId="7E8BD0A4" w14:textId="62C40A60"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Governance Structure</w:t>
      </w:r>
    </w:p>
    <w:p w14:paraId="54D027FA"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The AIWG is the Bank’s designated governance body for AI Systems. It oversees implementation and maintenance of this Program, reviews AI use cases and tool changes, and ensures AI controls remain aligned to Bank risk appetite and regulatory expectations. Executive leadership provides oversight and ensures resources, priorities, and escalation pathways are in place.</w:t>
      </w:r>
    </w:p>
    <w:p w14:paraId="3E5F4BD7" w14:textId="77777777" w:rsidR="00831B20" w:rsidRDefault="00831B20" w:rsidP="002F2822">
      <w:pPr>
        <w:pStyle w:val="Heading2"/>
        <w:spacing w:before="0" w:line="240" w:lineRule="auto"/>
        <w:rPr>
          <w:rFonts w:cstheme="majorHAnsi"/>
          <w:color w:val="auto"/>
          <w:sz w:val="22"/>
          <w:szCs w:val="22"/>
        </w:rPr>
      </w:pPr>
    </w:p>
    <w:p w14:paraId="509A7A29" w14:textId="7BE9AAE8"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Roles and Responsibilities</w:t>
      </w:r>
    </w:p>
    <w:p w14:paraId="514D56A7"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Board of Directors / Executive Leadership Team (ELT): Sets risk appetite, ensures management accountability, and receives updates on AI use and material issues.</w:t>
      </w:r>
    </w:p>
    <w:p w14:paraId="1F0223C1"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lastRenderedPageBreak/>
        <w:t>AI Working Group (AIWG): Maintains the AIS Program; reviews and approves AI use cases and tool changes; assigns risk tiers; sets guardrails and standards; reviews incidents and lessons learned; coordinates across functions.</w:t>
      </w:r>
    </w:p>
    <w:p w14:paraId="302269D9"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Chief Information Officer (CIO): Program owner; ensures tools are configured appropriately; ensures access control and documentation are maintained.</w:t>
      </w:r>
    </w:p>
    <w:p w14:paraId="33436F4B"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Information Security Officer (ISO): Ensures AI use aligns with security requirements; oversees AI-related security events and response.</w:t>
      </w:r>
    </w:p>
    <w:p w14:paraId="3D115255"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Chief Risk Officer / Risk Management: Ensures AI risk is assessed and monitored; aligns AI risk to enterprise risk management.</w:t>
      </w:r>
    </w:p>
    <w:p w14:paraId="5C9068A9"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Compliance: Reviews AI use cases for regulatory concerns; supports appropriate communications/disclosures and compliance guardrails.</w:t>
      </w:r>
    </w:p>
    <w:p w14:paraId="2B0BF6CF"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Business Unit Leaders: Ensure AI use within their areas stays within approved boundaries; ensure staff are trained and follow policy.</w:t>
      </w:r>
    </w:p>
    <w:p w14:paraId="05082DC2"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Employees / Authorized Users: Use AI only for approved purposes; follow data rules; verify outputs; escalate concerns.</w:t>
      </w:r>
    </w:p>
    <w:p w14:paraId="25D014B0" w14:textId="3B12908F"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Governance Cadence and Reporting</w:t>
      </w:r>
    </w:p>
    <w:p w14:paraId="3AB67A08" w14:textId="78F31A90"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The AIWG meets as needed and at least quarterly to review AI activity. Quarterly reviews typically </w:t>
      </w:r>
      <w:proofErr w:type="gramStart"/>
      <w:r w:rsidRPr="002F2822">
        <w:rPr>
          <w:rFonts w:asciiTheme="majorHAnsi" w:hAnsiTheme="majorHAnsi" w:cstheme="majorHAnsi"/>
        </w:rPr>
        <w:t>include:</w:t>
      </w:r>
      <w:proofErr w:type="gramEnd"/>
      <w:r w:rsidRPr="002F2822">
        <w:rPr>
          <w:rFonts w:asciiTheme="majorHAnsi" w:hAnsiTheme="majorHAnsi" w:cstheme="majorHAnsi"/>
        </w:rPr>
        <w:t xml:space="preserve"> approved tools and access lists; active use cases and any changes; training completion and onboarding; vendor AI updates; and incidents or near-misses. The AIWG provides quarterly summaries to the ELT</w:t>
      </w:r>
      <w:r w:rsidR="00831B20">
        <w:rPr>
          <w:rFonts w:asciiTheme="majorHAnsi" w:hAnsiTheme="majorHAnsi" w:cstheme="majorHAnsi"/>
        </w:rPr>
        <w:t xml:space="preserve"> and\or the Board of Directors or Board Committee, such as the IT Steering Committee</w:t>
      </w:r>
      <w:r w:rsidRPr="002F2822">
        <w:rPr>
          <w:rFonts w:asciiTheme="majorHAnsi" w:hAnsiTheme="majorHAnsi" w:cstheme="majorHAnsi"/>
        </w:rPr>
        <w:t xml:space="preserve">. Material changes (such as adoption of a new AI tool, expansion into </w:t>
      </w:r>
      <w:proofErr w:type="gramStart"/>
      <w:r w:rsidRPr="002F2822">
        <w:rPr>
          <w:rFonts w:asciiTheme="majorHAnsi" w:hAnsiTheme="majorHAnsi" w:cstheme="majorHAnsi"/>
        </w:rPr>
        <w:t>higher-risk</w:t>
      </w:r>
      <w:proofErr w:type="gramEnd"/>
      <w:r w:rsidRPr="002F2822">
        <w:rPr>
          <w:rFonts w:asciiTheme="majorHAnsi" w:hAnsiTheme="majorHAnsi" w:cstheme="majorHAnsi"/>
        </w:rPr>
        <w:t xml:space="preserve"> uses, or significant incidents) are escalated to executive leadership and, when appropriate, the Board.</w:t>
      </w:r>
    </w:p>
    <w:p w14:paraId="7057E0A9" w14:textId="77777777" w:rsidR="00831B20" w:rsidRDefault="00831B20" w:rsidP="002F2822">
      <w:pPr>
        <w:pStyle w:val="Heading2"/>
        <w:spacing w:before="0" w:line="240" w:lineRule="auto"/>
        <w:rPr>
          <w:rFonts w:cstheme="majorHAnsi"/>
          <w:color w:val="auto"/>
          <w:sz w:val="22"/>
          <w:szCs w:val="22"/>
        </w:rPr>
      </w:pPr>
    </w:p>
    <w:p w14:paraId="0574536F" w14:textId="25CFAF74"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Escalation Triggers</w:t>
      </w:r>
    </w:p>
    <w:p w14:paraId="5AB18A96"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Events that require escalation include suspected data exposure, discriminatory or inappropriate outputs, external use without required review/approval, vendor changes that materially impact data use or risk, or repeated inaccurate outputs that could create compliance or operational risk. Escalation ensures the Bank can quickly contain issues, learn from them, and adjust controls.</w:t>
      </w:r>
    </w:p>
    <w:p w14:paraId="05842F43" w14:textId="77777777" w:rsidR="00831B20" w:rsidRDefault="00831B20" w:rsidP="002F2822">
      <w:pPr>
        <w:pStyle w:val="Heading2"/>
        <w:spacing w:before="0" w:line="240" w:lineRule="auto"/>
        <w:rPr>
          <w:rFonts w:cstheme="majorHAnsi"/>
          <w:color w:val="auto"/>
          <w:sz w:val="22"/>
          <w:szCs w:val="22"/>
        </w:rPr>
      </w:pPr>
    </w:p>
    <w:p w14:paraId="681E7E59" w14:textId="2B8AC3BF"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74E1FEB6"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Working Group Charter</w:t>
      </w:r>
    </w:p>
    <w:p w14:paraId="1CF578E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Usage Policy</w:t>
      </w:r>
    </w:p>
    <w:p w14:paraId="4E325C85" w14:textId="77777777" w:rsidR="00831B20" w:rsidRDefault="00831B20" w:rsidP="002F2822">
      <w:pPr>
        <w:pStyle w:val="Heading1"/>
        <w:spacing w:before="0" w:line="240" w:lineRule="auto"/>
        <w:rPr>
          <w:rFonts w:cstheme="majorHAnsi"/>
          <w:color w:val="auto"/>
          <w:sz w:val="22"/>
          <w:szCs w:val="22"/>
        </w:rPr>
      </w:pPr>
    </w:p>
    <w:p w14:paraId="70E95F72" w14:textId="77777777" w:rsidR="009911B1" w:rsidRDefault="009911B1">
      <w:pPr>
        <w:rPr>
          <w:rFonts w:asciiTheme="majorHAnsi" w:eastAsiaTheme="majorEastAsia" w:hAnsiTheme="majorHAnsi" w:cstheme="majorHAnsi"/>
          <w:b/>
          <w:bCs/>
        </w:rPr>
      </w:pPr>
      <w:r>
        <w:rPr>
          <w:rFonts w:cstheme="majorHAnsi"/>
        </w:rPr>
        <w:br w:type="page"/>
      </w:r>
    </w:p>
    <w:p w14:paraId="102C78F6" w14:textId="29F32BF0"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lastRenderedPageBreak/>
        <w:t>AI Risk Classification Framework</w:t>
      </w:r>
    </w:p>
    <w:p w14:paraId="15292194" w14:textId="300B0ABE"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Not all AI use carries the same risk. A tool used to summarize internal documents is not the same as a tool that influences customer eligibility decisions. </w:t>
      </w:r>
      <w:r w:rsidR="002E2443">
        <w:rPr>
          <w:rFonts w:asciiTheme="majorHAnsi" w:hAnsiTheme="majorHAnsi" w:cstheme="majorHAnsi"/>
        </w:rPr>
        <w:t>Bank</w:t>
      </w:r>
      <w:r w:rsidRPr="002F2822">
        <w:rPr>
          <w:rFonts w:asciiTheme="majorHAnsi" w:hAnsiTheme="majorHAnsi" w:cstheme="majorHAnsi"/>
        </w:rPr>
        <w:t xml:space="preserve"> uses a simple tiered risk framework to keep controls proportional and to prevent unintended expansion into </w:t>
      </w:r>
      <w:proofErr w:type="gramStart"/>
      <w:r w:rsidRPr="002F2822">
        <w:rPr>
          <w:rFonts w:asciiTheme="majorHAnsi" w:hAnsiTheme="majorHAnsi" w:cstheme="majorHAnsi"/>
        </w:rPr>
        <w:t>higher-risk</w:t>
      </w:r>
      <w:proofErr w:type="gramEnd"/>
      <w:r w:rsidRPr="002F2822">
        <w:rPr>
          <w:rFonts w:asciiTheme="majorHAnsi" w:hAnsiTheme="majorHAnsi" w:cstheme="majorHAnsi"/>
        </w:rPr>
        <w:t xml:space="preserve"> uses. Tiering also provides a clear ‘stop </w:t>
      </w:r>
      <w:proofErr w:type="gramStart"/>
      <w:r w:rsidRPr="002F2822">
        <w:rPr>
          <w:rFonts w:asciiTheme="majorHAnsi" w:hAnsiTheme="majorHAnsi" w:cstheme="majorHAnsi"/>
        </w:rPr>
        <w:t>sign’:</w:t>
      </w:r>
      <w:proofErr w:type="gramEnd"/>
      <w:r w:rsidRPr="002F2822">
        <w:rPr>
          <w:rFonts w:asciiTheme="majorHAnsi" w:hAnsiTheme="majorHAnsi" w:cstheme="majorHAnsi"/>
        </w:rPr>
        <w:t xml:space="preserve"> if a proposed use case resembles Tier 2 or Tier 3, the Bank pauses and upgrades controls before proceeding.</w:t>
      </w:r>
    </w:p>
    <w:p w14:paraId="74E1DC09" w14:textId="77777777" w:rsidR="00831B20" w:rsidRDefault="00831B20" w:rsidP="002F2822">
      <w:pPr>
        <w:pStyle w:val="Heading2"/>
        <w:spacing w:before="0" w:line="240" w:lineRule="auto"/>
        <w:rPr>
          <w:rFonts w:cstheme="majorHAnsi"/>
          <w:color w:val="auto"/>
          <w:sz w:val="22"/>
          <w:szCs w:val="22"/>
        </w:rPr>
      </w:pPr>
    </w:p>
    <w:p w14:paraId="65F9E4AF" w14:textId="04F098D0"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Risk Tiers</w:t>
      </w:r>
    </w:p>
    <w:tbl>
      <w:tblPr>
        <w:tblStyle w:val="LightList"/>
        <w:tblW w:w="9360" w:type="dxa"/>
        <w:tblLook w:val="0000" w:firstRow="0" w:lastRow="0" w:firstColumn="0" w:lastColumn="0" w:noHBand="0" w:noVBand="0"/>
      </w:tblPr>
      <w:tblGrid>
        <w:gridCol w:w="1800"/>
        <w:gridCol w:w="3780"/>
        <w:gridCol w:w="3780"/>
      </w:tblGrid>
      <w:tr w:rsidR="009911B1" w:rsidRPr="003C0871" w14:paraId="09276BAA"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tcPr>
          <w:p w14:paraId="7286F0AC" w14:textId="77777777" w:rsidR="009911B1" w:rsidRPr="003C0871" w:rsidRDefault="009911B1" w:rsidP="00361124">
            <w:pPr>
              <w:rPr>
                <w:rFonts w:cs="Calibri"/>
                <w:color w:val="000000" w:themeColor="text1"/>
              </w:rPr>
            </w:pPr>
            <w:r w:rsidRPr="003C0871">
              <w:rPr>
                <w:rFonts w:eastAsia="Arial" w:cs="Calibri"/>
                <w:b/>
                <w:bCs/>
                <w:color w:val="000000" w:themeColor="text1"/>
              </w:rPr>
              <w:t>Tier</w:t>
            </w:r>
          </w:p>
        </w:tc>
        <w:tc>
          <w:tcPr>
            <w:tcW w:w="3780" w:type="dxa"/>
          </w:tcPr>
          <w:p w14:paraId="3DCBF09E"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b/>
                <w:bCs/>
                <w:color w:val="000000" w:themeColor="text1"/>
              </w:rPr>
              <w:t>Description</w:t>
            </w:r>
          </w:p>
        </w:tc>
        <w:tc>
          <w:tcPr>
            <w:cnfStyle w:val="000010000000" w:firstRow="0" w:lastRow="0" w:firstColumn="0" w:lastColumn="0" w:oddVBand="1" w:evenVBand="0" w:oddHBand="0" w:evenHBand="0" w:firstRowFirstColumn="0" w:firstRowLastColumn="0" w:lastRowFirstColumn="0" w:lastRowLastColumn="0"/>
            <w:tcW w:w="3780" w:type="dxa"/>
          </w:tcPr>
          <w:p w14:paraId="53DABA3C" w14:textId="77777777" w:rsidR="009911B1" w:rsidRPr="003C0871" w:rsidRDefault="009911B1" w:rsidP="00361124">
            <w:pPr>
              <w:rPr>
                <w:rFonts w:cs="Calibri"/>
                <w:color w:val="000000" w:themeColor="text1"/>
              </w:rPr>
            </w:pPr>
            <w:r w:rsidRPr="003C0871">
              <w:rPr>
                <w:rFonts w:eastAsia="Arial" w:cs="Calibri"/>
                <w:b/>
                <w:bCs/>
                <w:color w:val="000000" w:themeColor="text1"/>
              </w:rPr>
              <w:t>Key Requirements</w:t>
            </w:r>
          </w:p>
        </w:tc>
      </w:tr>
      <w:tr w:rsidR="009911B1" w:rsidRPr="003C0871" w14:paraId="75D8D8BB" w14:textId="77777777" w:rsidTr="00361124">
        <w:tc>
          <w:tcPr>
            <w:cnfStyle w:val="000010000000" w:firstRow="0" w:lastRow="0" w:firstColumn="0" w:lastColumn="0" w:oddVBand="1" w:evenVBand="0" w:oddHBand="0" w:evenHBand="0" w:firstRowFirstColumn="0" w:firstRowLastColumn="0" w:lastRowFirstColumn="0" w:lastRowLastColumn="0"/>
            <w:tcW w:w="1800" w:type="dxa"/>
          </w:tcPr>
          <w:p w14:paraId="485A0065" w14:textId="77777777" w:rsidR="009911B1" w:rsidRPr="003C0871" w:rsidRDefault="009911B1" w:rsidP="00361124">
            <w:pPr>
              <w:rPr>
                <w:rFonts w:cs="Calibri"/>
                <w:color w:val="000000" w:themeColor="text1"/>
              </w:rPr>
            </w:pPr>
            <w:r w:rsidRPr="003C0871">
              <w:rPr>
                <w:rFonts w:eastAsia="Arial" w:cs="Calibri"/>
                <w:b/>
                <w:bCs/>
                <w:color w:val="000000" w:themeColor="text1"/>
              </w:rPr>
              <w:t>Tier 1 (Low)</w:t>
            </w:r>
          </w:p>
        </w:tc>
        <w:tc>
          <w:tcPr>
            <w:tcW w:w="3780" w:type="dxa"/>
          </w:tcPr>
          <w:p w14:paraId="3FCDFFE7"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Assistive internal productivity use with required human review. No consumer decisioning. No material business decision impacts. This is the Bank’s current state.</w:t>
            </w:r>
          </w:p>
        </w:tc>
        <w:tc>
          <w:tcPr>
            <w:cnfStyle w:val="000010000000" w:firstRow="0" w:lastRow="0" w:firstColumn="0" w:lastColumn="0" w:oddVBand="1" w:evenVBand="0" w:oddHBand="0" w:evenHBand="0" w:firstRowFirstColumn="0" w:firstRowLastColumn="0" w:lastRowFirstColumn="0" w:lastRowLastColumn="0"/>
            <w:tcW w:w="3780" w:type="dxa"/>
          </w:tcPr>
          <w:p w14:paraId="5CDF1942" w14:textId="77777777" w:rsidR="009911B1" w:rsidRPr="003C0871" w:rsidRDefault="009911B1" w:rsidP="00361124">
            <w:pPr>
              <w:rPr>
                <w:rFonts w:cs="Calibri"/>
                <w:color w:val="000000" w:themeColor="text1"/>
              </w:rPr>
            </w:pPr>
            <w:r w:rsidRPr="003C0871">
              <w:rPr>
                <w:rFonts w:eastAsia="Arial" w:cs="Calibri"/>
                <w:color w:val="000000" w:themeColor="text1"/>
              </w:rPr>
              <w:t>Human review of all outputs. Approved tools only. Training and policy acknowledgment required.</w:t>
            </w:r>
          </w:p>
        </w:tc>
      </w:tr>
      <w:tr w:rsidR="009911B1" w:rsidRPr="003C0871" w14:paraId="67B3625E" w14:textId="77777777" w:rsidTr="0036112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tcPr>
          <w:p w14:paraId="1AFF8362" w14:textId="77777777" w:rsidR="009911B1" w:rsidRPr="003C0871" w:rsidRDefault="009911B1" w:rsidP="00361124">
            <w:pPr>
              <w:rPr>
                <w:rFonts w:cs="Calibri"/>
                <w:color w:val="000000" w:themeColor="text1"/>
              </w:rPr>
            </w:pPr>
            <w:r w:rsidRPr="003C0871">
              <w:rPr>
                <w:rFonts w:eastAsia="Arial" w:cs="Calibri"/>
                <w:b/>
                <w:bCs/>
                <w:color w:val="000000" w:themeColor="text1"/>
              </w:rPr>
              <w:t>Tier 2 (Medium)</w:t>
            </w:r>
          </w:p>
        </w:tc>
        <w:tc>
          <w:tcPr>
            <w:tcW w:w="3780" w:type="dxa"/>
          </w:tcPr>
          <w:p w14:paraId="57600D68" w14:textId="77777777" w:rsidR="009911B1" w:rsidRPr="003C0871" w:rsidRDefault="009911B1" w:rsidP="00361124">
            <w:pPr>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003C0871">
              <w:rPr>
                <w:rFonts w:eastAsia="Arial" w:cs="Calibri"/>
                <w:color w:val="000000" w:themeColor="text1"/>
              </w:rPr>
              <w:t>Decision support where AI outputs may influence internal decisions. Includes predictive models and analytical tools used to inform business judgments.</w:t>
            </w:r>
          </w:p>
        </w:tc>
        <w:tc>
          <w:tcPr>
            <w:cnfStyle w:val="000010000000" w:firstRow="0" w:lastRow="0" w:firstColumn="0" w:lastColumn="0" w:oddVBand="1" w:evenVBand="0" w:oddHBand="0" w:evenHBand="0" w:firstRowFirstColumn="0" w:firstRowLastColumn="0" w:lastRowFirstColumn="0" w:lastRowLastColumn="0"/>
            <w:tcW w:w="3780" w:type="dxa"/>
          </w:tcPr>
          <w:p w14:paraId="1AEF4193" w14:textId="77777777" w:rsidR="009911B1" w:rsidRPr="003C0871" w:rsidRDefault="009911B1" w:rsidP="00361124">
            <w:pPr>
              <w:rPr>
                <w:rFonts w:cs="Calibri"/>
                <w:color w:val="000000" w:themeColor="text1"/>
              </w:rPr>
            </w:pPr>
            <w:r w:rsidRPr="003C0871">
              <w:rPr>
                <w:rFonts w:eastAsia="Arial" w:cs="Calibri"/>
                <w:color w:val="000000" w:themeColor="text1"/>
              </w:rPr>
              <w:t>Enhanced AIWG review and approval. Additional monitoring, validation, and documentation. Expanded model governance if applicable.</w:t>
            </w:r>
          </w:p>
        </w:tc>
      </w:tr>
      <w:tr w:rsidR="009911B1" w:rsidRPr="003C0871" w14:paraId="16B05C0D" w14:textId="77777777" w:rsidTr="00361124">
        <w:tc>
          <w:tcPr>
            <w:cnfStyle w:val="000010000000" w:firstRow="0" w:lastRow="0" w:firstColumn="0" w:lastColumn="0" w:oddVBand="1" w:evenVBand="0" w:oddHBand="0" w:evenHBand="0" w:firstRowFirstColumn="0" w:firstRowLastColumn="0" w:lastRowFirstColumn="0" w:lastRowLastColumn="0"/>
            <w:tcW w:w="1800" w:type="dxa"/>
          </w:tcPr>
          <w:p w14:paraId="67D1924D" w14:textId="77777777" w:rsidR="009911B1" w:rsidRPr="003C0871" w:rsidRDefault="009911B1" w:rsidP="00361124">
            <w:pPr>
              <w:rPr>
                <w:rFonts w:cs="Calibri"/>
                <w:color w:val="000000" w:themeColor="text1"/>
              </w:rPr>
            </w:pPr>
            <w:r w:rsidRPr="003C0871">
              <w:rPr>
                <w:rFonts w:eastAsia="Arial" w:cs="Calibri"/>
                <w:b/>
                <w:bCs/>
                <w:color w:val="000000" w:themeColor="text1"/>
              </w:rPr>
              <w:t>Tier 3 (High)</w:t>
            </w:r>
          </w:p>
        </w:tc>
        <w:tc>
          <w:tcPr>
            <w:tcW w:w="3780" w:type="dxa"/>
          </w:tcPr>
          <w:p w14:paraId="6DE69239" w14:textId="77777777" w:rsidR="009911B1" w:rsidRPr="003C0871" w:rsidRDefault="009911B1" w:rsidP="00361124">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3C0871">
              <w:rPr>
                <w:rFonts w:eastAsia="Arial" w:cs="Calibri"/>
                <w:color w:val="000000" w:themeColor="text1"/>
              </w:rPr>
              <w:t>Consumer-impacting decisioning or automation, including agentic AI that takes actions with reduced human oversight.</w:t>
            </w:r>
          </w:p>
        </w:tc>
        <w:tc>
          <w:tcPr>
            <w:cnfStyle w:val="000010000000" w:firstRow="0" w:lastRow="0" w:firstColumn="0" w:lastColumn="0" w:oddVBand="1" w:evenVBand="0" w:oddHBand="0" w:evenHBand="0" w:firstRowFirstColumn="0" w:firstRowLastColumn="0" w:lastRowFirstColumn="0" w:lastRowLastColumn="0"/>
            <w:tcW w:w="3780" w:type="dxa"/>
          </w:tcPr>
          <w:p w14:paraId="41849762" w14:textId="77777777" w:rsidR="009911B1" w:rsidRPr="003C0871" w:rsidRDefault="009911B1" w:rsidP="00361124">
            <w:pPr>
              <w:rPr>
                <w:rFonts w:cs="Calibri"/>
                <w:color w:val="000000" w:themeColor="text1"/>
              </w:rPr>
            </w:pPr>
            <w:r w:rsidRPr="003C0871">
              <w:rPr>
                <w:rFonts w:eastAsia="Arial" w:cs="Calibri"/>
                <w:color w:val="000000" w:themeColor="text1"/>
              </w:rPr>
              <w:t>Full model risk management. Compliance testing. Expanded governance, documentation, and monitoring. Board-level reporting.</w:t>
            </w:r>
          </w:p>
        </w:tc>
      </w:tr>
    </w:tbl>
    <w:p w14:paraId="5A860B32" w14:textId="714F899C"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Current statement: All current </w:t>
      </w:r>
      <w:r w:rsidR="002E2443">
        <w:rPr>
          <w:rFonts w:asciiTheme="majorHAnsi" w:hAnsiTheme="majorHAnsi" w:cstheme="majorHAnsi"/>
        </w:rPr>
        <w:t>Bank</w:t>
      </w:r>
      <w:r w:rsidRPr="002F2822">
        <w:rPr>
          <w:rFonts w:asciiTheme="majorHAnsi" w:hAnsiTheme="majorHAnsi" w:cstheme="majorHAnsi"/>
        </w:rPr>
        <w:t xml:space="preserve"> AI Systems are Tier 1.</w:t>
      </w:r>
    </w:p>
    <w:p w14:paraId="67150258" w14:textId="77777777" w:rsidR="00831B20" w:rsidRDefault="00831B20" w:rsidP="002F2822">
      <w:pPr>
        <w:pStyle w:val="Heading2"/>
        <w:spacing w:before="0" w:line="240" w:lineRule="auto"/>
        <w:rPr>
          <w:rFonts w:cstheme="majorHAnsi"/>
          <w:color w:val="auto"/>
          <w:sz w:val="22"/>
          <w:szCs w:val="22"/>
        </w:rPr>
      </w:pPr>
    </w:p>
    <w:p w14:paraId="63687619" w14:textId="1551C110"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Practical Risk Assessment Steps</w:t>
      </w:r>
    </w:p>
    <w:p w14:paraId="39877D5E" w14:textId="777DA094"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For each proposed AI use case, the Bank documents the purpose, </w:t>
      </w:r>
      <w:r w:rsidR="00831B20">
        <w:rPr>
          <w:rFonts w:asciiTheme="majorHAnsi" w:hAnsiTheme="majorHAnsi" w:cstheme="majorHAnsi"/>
        </w:rPr>
        <w:t>how</w:t>
      </w:r>
      <w:r w:rsidRPr="002F2822">
        <w:rPr>
          <w:rFonts w:asciiTheme="majorHAnsi" w:hAnsiTheme="majorHAnsi" w:cstheme="majorHAnsi"/>
        </w:rPr>
        <w:t xml:space="preserve"> outputs will be used, </w:t>
      </w:r>
      <w:r w:rsidR="00831B20">
        <w:rPr>
          <w:rFonts w:asciiTheme="majorHAnsi" w:hAnsiTheme="majorHAnsi" w:cstheme="majorHAnsi"/>
        </w:rPr>
        <w:t xml:space="preserve">and </w:t>
      </w:r>
      <w:r w:rsidRPr="002F2822">
        <w:rPr>
          <w:rFonts w:asciiTheme="majorHAnsi" w:hAnsiTheme="majorHAnsi" w:cstheme="majorHAnsi"/>
        </w:rPr>
        <w:t>whether anything is customer-facing. The AIWG assigns the tier and identifies a short set of required controls</w:t>
      </w:r>
      <w:r w:rsidR="00831B20">
        <w:rPr>
          <w:rFonts w:asciiTheme="majorHAnsi" w:hAnsiTheme="majorHAnsi" w:cstheme="majorHAnsi"/>
        </w:rPr>
        <w:t>, if beyond the Bank’s already defined controls</w:t>
      </w:r>
      <w:r w:rsidRPr="002F2822">
        <w:rPr>
          <w:rFonts w:asciiTheme="majorHAnsi" w:hAnsiTheme="majorHAnsi" w:cstheme="majorHAnsi"/>
        </w:rPr>
        <w:t>. Where feasible, the assessment and approvals are tracked in the GRC platform.</w:t>
      </w:r>
    </w:p>
    <w:p w14:paraId="1E75CB58" w14:textId="77777777" w:rsidR="00831B20" w:rsidRDefault="00831B20" w:rsidP="002F2822">
      <w:pPr>
        <w:pStyle w:val="Heading2"/>
        <w:spacing w:before="0" w:line="240" w:lineRule="auto"/>
        <w:rPr>
          <w:rFonts w:cstheme="majorHAnsi"/>
          <w:color w:val="auto"/>
          <w:sz w:val="22"/>
          <w:szCs w:val="22"/>
        </w:rPr>
      </w:pPr>
    </w:p>
    <w:p w14:paraId="1DE14249" w14:textId="298640EF"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65B8BAC4"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Risk Assessment</w:t>
      </w:r>
    </w:p>
    <w:p w14:paraId="7AE1DFA5"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General Bank AI Use Cases</w:t>
      </w:r>
    </w:p>
    <w:p w14:paraId="464DB31A" w14:textId="0D52AC2B"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AI Lifecycle Management</w:t>
      </w:r>
    </w:p>
    <w:p w14:paraId="2DDCD785" w14:textId="40C1BC3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AI tools and AI features change frequently. Even with Tier 1 use, the Bank needs a repeatable process to prevent unmanaged adoption, ensure staff are trained, and confirm controls remain appropriate over time. </w:t>
      </w:r>
      <w:r w:rsidR="002E2443">
        <w:rPr>
          <w:rFonts w:asciiTheme="majorHAnsi" w:hAnsiTheme="majorHAnsi" w:cstheme="majorHAnsi"/>
        </w:rPr>
        <w:t>Bank</w:t>
      </w:r>
      <w:r w:rsidRPr="002F2822">
        <w:rPr>
          <w:rFonts w:asciiTheme="majorHAnsi" w:hAnsiTheme="majorHAnsi" w:cstheme="majorHAnsi"/>
        </w:rPr>
        <w:t xml:space="preserve"> follows a lightweight lifecycle that mirrors how we manage other technology: document the use case, review risks before adoption, control access, require training and policy acknowledgment, and periodically confirm that the tool and use case have not changed in a way that increases risk.</w:t>
      </w:r>
    </w:p>
    <w:p w14:paraId="1B6DCD7F" w14:textId="77777777" w:rsidR="00831B20" w:rsidRDefault="00831B20" w:rsidP="002F2822">
      <w:pPr>
        <w:pStyle w:val="Heading2"/>
        <w:spacing w:before="0" w:line="240" w:lineRule="auto"/>
        <w:rPr>
          <w:rFonts w:cstheme="majorHAnsi"/>
          <w:color w:val="auto"/>
          <w:sz w:val="22"/>
          <w:szCs w:val="22"/>
        </w:rPr>
      </w:pPr>
    </w:p>
    <w:p w14:paraId="0C44D273" w14:textId="72F0FAF6"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Lifecycle Stages</w:t>
      </w:r>
    </w:p>
    <w:p w14:paraId="474A440B"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Use Case Intake: document purpose, tool, users, and data types; submit to AIWG.</w:t>
      </w:r>
    </w:p>
    <w:p w14:paraId="072131AA"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Pre-Implementation Review: assign tier; Security and Compliance confirm boundaries; vendor due diligence if applicable.</w:t>
      </w:r>
    </w:p>
    <w:p w14:paraId="1F7B0E2B"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Implementation and Access Control: configure tool settings; assign roles; grant access only after training and acknowledgments.</w:t>
      </w:r>
    </w:p>
    <w:p w14:paraId="4EDB3F11"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lastRenderedPageBreak/>
        <w:t>Use and Human Review: treat outputs as drafts; verify facts and calculations; follow marketing/compliance standards for external communications.</w:t>
      </w:r>
    </w:p>
    <w:p w14:paraId="4C0F58E6"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 xml:space="preserve">Ongoing Monitoring: quarterly AIWG reviews; update access lists; reassess </w:t>
      </w:r>
      <w:proofErr w:type="gramStart"/>
      <w:r w:rsidRPr="002F2822">
        <w:rPr>
          <w:rFonts w:asciiTheme="majorHAnsi" w:hAnsiTheme="majorHAnsi" w:cstheme="majorHAnsi"/>
        </w:rPr>
        <w:t>risk</w:t>
      </w:r>
      <w:proofErr w:type="gramEnd"/>
      <w:r w:rsidRPr="002F2822">
        <w:rPr>
          <w:rFonts w:asciiTheme="majorHAnsi" w:hAnsiTheme="majorHAnsi" w:cstheme="majorHAnsi"/>
        </w:rPr>
        <w:t xml:space="preserve"> </w:t>
      </w:r>
      <w:proofErr w:type="gramStart"/>
      <w:r w:rsidRPr="002F2822">
        <w:rPr>
          <w:rFonts w:asciiTheme="majorHAnsi" w:hAnsiTheme="majorHAnsi" w:cstheme="majorHAnsi"/>
        </w:rPr>
        <w:t>on</w:t>
      </w:r>
      <w:proofErr w:type="gramEnd"/>
      <w:r w:rsidRPr="002F2822">
        <w:rPr>
          <w:rFonts w:asciiTheme="majorHAnsi" w:hAnsiTheme="majorHAnsi" w:cstheme="majorHAnsi"/>
        </w:rPr>
        <w:t xml:space="preserve"> material changes.</w:t>
      </w:r>
    </w:p>
    <w:p w14:paraId="03D254B6"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Retirement: remove access; ensure retention/deletion aligns to Bank requirements; update inventories.</w:t>
      </w:r>
    </w:p>
    <w:p w14:paraId="370885D6" w14:textId="77777777"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5D0333A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Usage Policy</w:t>
      </w:r>
    </w:p>
    <w:p w14:paraId="5EE1E130"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ChatGPT Workspace Roles</w:t>
      </w:r>
    </w:p>
    <w:p w14:paraId="58361B4E" w14:textId="77777777" w:rsidR="00831B20" w:rsidRDefault="00831B20" w:rsidP="002F2822">
      <w:pPr>
        <w:pStyle w:val="Heading1"/>
        <w:spacing w:before="0" w:line="240" w:lineRule="auto"/>
        <w:rPr>
          <w:rFonts w:cstheme="majorHAnsi"/>
          <w:color w:val="auto"/>
          <w:sz w:val="22"/>
          <w:szCs w:val="22"/>
        </w:rPr>
      </w:pPr>
    </w:p>
    <w:p w14:paraId="1A88E5E0" w14:textId="067BD8BA"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Data Governance, Privacy, and Security</w:t>
      </w:r>
    </w:p>
    <w:p w14:paraId="10E78A62" w14:textId="341D4402"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Most AI risk for a community bank comes from preventable mistakes: entering sensitive customer or Bank information into an AI tool, storing outputs inappropriately, or relying on outputs without review. </w:t>
      </w:r>
      <w:r w:rsidR="002E2443">
        <w:rPr>
          <w:rFonts w:asciiTheme="majorHAnsi" w:hAnsiTheme="majorHAnsi" w:cstheme="majorHAnsi"/>
        </w:rPr>
        <w:t>Bank</w:t>
      </w:r>
      <w:r w:rsidRPr="002F2822">
        <w:rPr>
          <w:rFonts w:asciiTheme="majorHAnsi" w:hAnsiTheme="majorHAnsi" w:cstheme="majorHAnsi"/>
        </w:rPr>
        <w:t xml:space="preserve"> keeps data rules simple and repeatable. The Bank limits AI use to approved tools, restricts what information may be entered, ties access to training and business need, and reinforces that prompts and uploads should be treated as sensitive work </w:t>
      </w:r>
      <w:proofErr w:type="gramStart"/>
      <w:r w:rsidRPr="002F2822">
        <w:rPr>
          <w:rFonts w:asciiTheme="majorHAnsi" w:hAnsiTheme="majorHAnsi" w:cstheme="majorHAnsi"/>
        </w:rPr>
        <w:t>product</w:t>
      </w:r>
      <w:proofErr w:type="gramEnd"/>
      <w:r w:rsidRPr="002F2822">
        <w:rPr>
          <w:rFonts w:asciiTheme="majorHAnsi" w:hAnsiTheme="majorHAnsi" w:cstheme="majorHAnsi"/>
        </w:rPr>
        <w:t>. AI-related issues are handled through the Bank’s established incident response process to ensure rapid containment and remediation.</w:t>
      </w:r>
    </w:p>
    <w:p w14:paraId="3005693F" w14:textId="77777777" w:rsidR="005C79E4" w:rsidRDefault="005C79E4" w:rsidP="002F2822">
      <w:pPr>
        <w:pStyle w:val="Heading2"/>
        <w:spacing w:before="0" w:line="240" w:lineRule="auto"/>
        <w:rPr>
          <w:rFonts w:cstheme="majorHAnsi"/>
          <w:color w:val="auto"/>
          <w:sz w:val="22"/>
          <w:szCs w:val="22"/>
        </w:rPr>
      </w:pPr>
    </w:p>
    <w:p w14:paraId="1DB49A6F" w14:textId="45E1AD42"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Data Rules for Staff (Plain Language)</w:t>
      </w:r>
    </w:p>
    <w:p w14:paraId="34955D15"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Use only Bank-approved AI tools and environments.</w:t>
      </w:r>
    </w:p>
    <w:p w14:paraId="6120B06A" w14:textId="7050E6A0"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 xml:space="preserve">Do not enter restricted data (customer NPI/PII, account numbers, credentials, confidential internal information) </w:t>
      </w:r>
      <w:r w:rsidR="005C79E4">
        <w:rPr>
          <w:rFonts w:asciiTheme="majorHAnsi" w:hAnsiTheme="majorHAnsi" w:cstheme="majorHAnsi"/>
        </w:rPr>
        <w:t>into any system that uses Bank data to train models</w:t>
      </w:r>
      <w:r w:rsidRPr="002F2822">
        <w:rPr>
          <w:rFonts w:asciiTheme="majorHAnsi" w:hAnsiTheme="majorHAnsi" w:cstheme="majorHAnsi"/>
        </w:rPr>
        <w:t>.</w:t>
      </w:r>
    </w:p>
    <w:p w14:paraId="3E1CBEC8"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Treat prompts/uploads and outputs as Bank work product; store them only in approved Bank systems.</w:t>
      </w:r>
    </w:p>
    <w:p w14:paraId="6FCFC430"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Verify AI outputs before use, especially facts, numbers, and regulatory statements.</w:t>
      </w:r>
    </w:p>
    <w:p w14:paraId="73ACC1A9" w14:textId="77777777" w:rsidR="005C79E4" w:rsidRDefault="005C79E4" w:rsidP="002F2822">
      <w:pPr>
        <w:pStyle w:val="Heading2"/>
        <w:spacing w:before="0" w:line="240" w:lineRule="auto"/>
        <w:rPr>
          <w:rFonts w:cstheme="majorHAnsi"/>
          <w:color w:val="auto"/>
          <w:sz w:val="22"/>
          <w:szCs w:val="22"/>
        </w:rPr>
      </w:pPr>
    </w:p>
    <w:p w14:paraId="10A654DC" w14:textId="4E54DBE1"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Access and Control Practices</w:t>
      </w:r>
    </w:p>
    <w:p w14:paraId="5812334B"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The Bank uses role-based access (Owner/Admin/User), least privilege, and training and policy acknowledgment as prerequisites to access. Security awareness reminders address emerging AI threats such as deepfakes, AI-enhanced phishing, and impersonation.</w:t>
      </w:r>
    </w:p>
    <w:p w14:paraId="4D46A700" w14:textId="1A4C8E09"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Security Events and Response</w:t>
      </w:r>
    </w:p>
    <w:p w14:paraId="2A819447" w14:textId="6BC9F5FF"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If a user suspects data was entered incorrectly or exposed, the user must notify the ISO</w:t>
      </w:r>
      <w:r w:rsidR="005C79E4">
        <w:rPr>
          <w:rFonts w:asciiTheme="majorHAnsi" w:hAnsiTheme="majorHAnsi" w:cstheme="majorHAnsi"/>
        </w:rPr>
        <w:t xml:space="preserve"> </w:t>
      </w:r>
      <w:r w:rsidRPr="002F2822">
        <w:rPr>
          <w:rFonts w:asciiTheme="majorHAnsi" w:hAnsiTheme="majorHAnsi" w:cstheme="majorHAnsi"/>
        </w:rPr>
        <w:t>immediately, provide details of what was shared and where, and follow the Bank’s incident response procedures. Incidents are documented and reviewed by the AIWG to identify lessons learned and needed control improvements.</w:t>
      </w:r>
    </w:p>
    <w:p w14:paraId="186CDC69" w14:textId="77777777" w:rsidR="005C79E4" w:rsidRDefault="005C79E4" w:rsidP="002F2822">
      <w:pPr>
        <w:pStyle w:val="Heading2"/>
        <w:spacing w:before="0" w:line="240" w:lineRule="auto"/>
        <w:rPr>
          <w:rFonts w:cstheme="majorHAnsi"/>
          <w:color w:val="auto"/>
          <w:sz w:val="22"/>
          <w:szCs w:val="22"/>
        </w:rPr>
      </w:pPr>
    </w:p>
    <w:p w14:paraId="48222323" w14:textId="3DEF17B2"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60AACA28"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Usage Policy</w:t>
      </w:r>
    </w:p>
    <w:p w14:paraId="131A5593"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Literacy Training Program</w:t>
      </w:r>
    </w:p>
    <w:p w14:paraId="5F58B798" w14:textId="77777777" w:rsidR="005C79E4" w:rsidRDefault="005C79E4" w:rsidP="002F2822">
      <w:pPr>
        <w:pStyle w:val="Heading1"/>
        <w:spacing w:before="0" w:line="240" w:lineRule="auto"/>
        <w:rPr>
          <w:rFonts w:cstheme="majorHAnsi"/>
          <w:color w:val="auto"/>
          <w:sz w:val="22"/>
          <w:szCs w:val="22"/>
        </w:rPr>
      </w:pPr>
    </w:p>
    <w:p w14:paraId="7451913C" w14:textId="3B47AFCB"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Model Risk and Fairness Considerations</w:t>
      </w:r>
    </w:p>
    <w:p w14:paraId="783DAAC5" w14:textId="254E57C1"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Because </w:t>
      </w:r>
      <w:r w:rsidR="002E2443">
        <w:rPr>
          <w:rFonts w:asciiTheme="majorHAnsi" w:hAnsiTheme="majorHAnsi" w:cstheme="majorHAnsi"/>
        </w:rPr>
        <w:t>Bank</w:t>
      </w:r>
      <w:r w:rsidRPr="002F2822">
        <w:rPr>
          <w:rFonts w:asciiTheme="majorHAnsi" w:hAnsiTheme="majorHAnsi" w:cstheme="majorHAnsi"/>
        </w:rPr>
        <w:t xml:space="preserve"> does not deploy predictive or decisioning AI models, full model risk management practices are not currently required. However, fairness and quality still matter because AI-generated content can influence how staff communicate, document work, and analyze information. In Tier 1 use, the Bank’s approach is to treat AI outputs as drafts, require human review and verification, and prohibit AI uses that resemble automated decisioning.</w:t>
      </w:r>
    </w:p>
    <w:p w14:paraId="6DCB8D37" w14:textId="77777777" w:rsidR="005C79E4" w:rsidRDefault="005C79E4" w:rsidP="002F2822">
      <w:pPr>
        <w:pStyle w:val="Heading2"/>
        <w:spacing w:before="0" w:line="240" w:lineRule="auto"/>
        <w:rPr>
          <w:rFonts w:cstheme="majorHAnsi"/>
          <w:color w:val="auto"/>
          <w:sz w:val="22"/>
          <w:szCs w:val="22"/>
        </w:rPr>
      </w:pPr>
    </w:p>
    <w:p w14:paraId="70CD510F" w14:textId="42F9BE50"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Practical Tier 1 Controls</w:t>
      </w:r>
    </w:p>
    <w:p w14:paraId="0FAB9248"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Users review AI outputs before use and verify key factual statements, calculations, and citations.</w:t>
      </w:r>
    </w:p>
    <w:p w14:paraId="441781F0"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Users do not present AI outputs as a final ‘Bank decision’ and avoid using AI to generate approvals/denials.</w:t>
      </w:r>
    </w:p>
    <w:p w14:paraId="54E0AD5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Users escalate bias, discriminatory language, or inappropriate content and do not use the output.</w:t>
      </w:r>
    </w:p>
    <w:p w14:paraId="14D94BF6" w14:textId="77777777" w:rsidR="005C79E4" w:rsidRDefault="005C79E4" w:rsidP="002F2822">
      <w:pPr>
        <w:pStyle w:val="Heading2"/>
        <w:spacing w:before="0" w:line="240" w:lineRule="auto"/>
        <w:rPr>
          <w:rFonts w:cstheme="majorHAnsi"/>
          <w:color w:val="auto"/>
          <w:sz w:val="22"/>
          <w:szCs w:val="22"/>
        </w:rPr>
      </w:pPr>
    </w:p>
    <w:p w14:paraId="4A673561" w14:textId="53022885"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Future Expansion</w:t>
      </w:r>
    </w:p>
    <w:p w14:paraId="7477A25A"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If the Bank considers predictive models or AI-driven decision support in the future, the Bank will not proceed until an expanded model governance framework is approved, including validation, monitoring, documentation standards, and compliance testing appropriate to consumer impact.</w:t>
      </w:r>
    </w:p>
    <w:p w14:paraId="1B12DA68" w14:textId="77777777" w:rsidR="005C79E4" w:rsidRDefault="005C79E4" w:rsidP="002F2822">
      <w:pPr>
        <w:pStyle w:val="Heading2"/>
        <w:spacing w:before="0" w:line="240" w:lineRule="auto"/>
        <w:rPr>
          <w:rFonts w:cstheme="majorHAnsi"/>
          <w:color w:val="auto"/>
          <w:sz w:val="22"/>
          <w:szCs w:val="22"/>
        </w:rPr>
      </w:pPr>
    </w:p>
    <w:p w14:paraId="2C9C47EA" w14:textId="6F43E771"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027FA12C"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Literacy Training Program</w:t>
      </w:r>
    </w:p>
    <w:p w14:paraId="7AD29A8F" w14:textId="77777777" w:rsidR="005C79E4" w:rsidRDefault="005C79E4" w:rsidP="002F2822">
      <w:pPr>
        <w:pStyle w:val="Heading1"/>
        <w:spacing w:before="0" w:line="240" w:lineRule="auto"/>
        <w:rPr>
          <w:rFonts w:cstheme="majorHAnsi"/>
          <w:color w:val="auto"/>
          <w:sz w:val="22"/>
          <w:szCs w:val="22"/>
        </w:rPr>
      </w:pPr>
    </w:p>
    <w:p w14:paraId="7556BB32" w14:textId="36B5FC4F"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Third-Party AI Management</w:t>
      </w:r>
    </w:p>
    <w:p w14:paraId="1B585F6F" w14:textId="3387C2C6"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Vendors increasingly embed AI into products, and those features can change how data is processed, stored, or shared. </w:t>
      </w:r>
      <w:r w:rsidR="002E2443">
        <w:rPr>
          <w:rFonts w:asciiTheme="majorHAnsi" w:hAnsiTheme="majorHAnsi" w:cstheme="majorHAnsi"/>
        </w:rPr>
        <w:t>Bank</w:t>
      </w:r>
      <w:r w:rsidRPr="002F2822">
        <w:rPr>
          <w:rFonts w:asciiTheme="majorHAnsi" w:hAnsiTheme="majorHAnsi" w:cstheme="majorHAnsi"/>
        </w:rPr>
        <w:t xml:space="preserve"> treats vendor AI as part of third-party risk management, with added AI-specific diligence. The Bank documents how the AI works at a practical level (data sources, retention, training use, processing locations, access controls), </w:t>
      </w:r>
      <w:proofErr w:type="gramStart"/>
      <w:r w:rsidRPr="002F2822">
        <w:rPr>
          <w:rFonts w:asciiTheme="majorHAnsi" w:hAnsiTheme="majorHAnsi" w:cstheme="majorHAnsi"/>
        </w:rPr>
        <w:t>includes</w:t>
      </w:r>
      <w:proofErr w:type="gramEnd"/>
      <w:r w:rsidRPr="002F2822">
        <w:rPr>
          <w:rFonts w:asciiTheme="majorHAnsi" w:hAnsiTheme="majorHAnsi" w:cstheme="majorHAnsi"/>
        </w:rPr>
        <w:t xml:space="preserve"> reasonable contract protections when feasible, and reassesses risk when vendor AI functionality changes.</w:t>
      </w:r>
    </w:p>
    <w:p w14:paraId="619AC48E" w14:textId="77777777" w:rsidR="005C79E4" w:rsidRDefault="005C79E4" w:rsidP="002F2822">
      <w:pPr>
        <w:pStyle w:val="Heading2"/>
        <w:spacing w:before="0" w:line="240" w:lineRule="auto"/>
        <w:rPr>
          <w:rFonts w:cstheme="majorHAnsi"/>
          <w:color w:val="auto"/>
          <w:sz w:val="22"/>
          <w:szCs w:val="22"/>
        </w:rPr>
      </w:pPr>
    </w:p>
    <w:p w14:paraId="2851EFE1" w14:textId="0E294DCF"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Practical Steps We Take</w:t>
      </w:r>
    </w:p>
    <w:p w14:paraId="6A6C5A4F" w14:textId="578FF8EC"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Perform AI-specific due diligence prior to adoption (</w:t>
      </w:r>
      <w:r w:rsidR="005C79E4">
        <w:rPr>
          <w:rFonts w:asciiTheme="majorHAnsi" w:hAnsiTheme="majorHAnsi" w:cstheme="majorHAnsi"/>
        </w:rPr>
        <w:t xml:space="preserve">ISO </w:t>
      </w:r>
      <w:r w:rsidRPr="002F2822">
        <w:rPr>
          <w:rFonts w:asciiTheme="majorHAnsi" w:hAnsiTheme="majorHAnsi" w:cstheme="majorHAnsi"/>
        </w:rPr>
        <w:t>questionnaire and evidence review).</w:t>
      </w:r>
    </w:p>
    <w:p w14:paraId="59D18527"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Confirm whether Bank data is retained or used for training; document locations and controls.</w:t>
      </w:r>
    </w:p>
    <w:p w14:paraId="55EE1E0E"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Confirm security, privacy, access controls, and incident notification requirements.</w:t>
      </w:r>
    </w:p>
    <w:p w14:paraId="2B03E6B7"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Include contract protections (audit rights/reports, security obligations, regulatory cooperation, change notification) where appropriate.</w:t>
      </w:r>
    </w:p>
    <w:p w14:paraId="4FB6B5F9"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Monitor vendor updates and reassess AI risk upon material changes.</w:t>
      </w:r>
    </w:p>
    <w:p w14:paraId="37991910" w14:textId="77777777" w:rsidR="005C79E4" w:rsidRDefault="005C79E4" w:rsidP="002F2822">
      <w:pPr>
        <w:pStyle w:val="Heading2"/>
        <w:spacing w:before="0" w:line="240" w:lineRule="auto"/>
        <w:rPr>
          <w:rFonts w:cstheme="majorHAnsi"/>
          <w:color w:val="auto"/>
          <w:sz w:val="22"/>
          <w:szCs w:val="22"/>
        </w:rPr>
      </w:pPr>
    </w:p>
    <w:p w14:paraId="5A7A8F14" w14:textId="7C00FF57"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Training, Acceptable Use, and Culture</w:t>
      </w:r>
    </w:p>
    <w:p w14:paraId="2ACFEB47" w14:textId="36E41D79"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In a Tier 1 environment, the effectiveness of controls depends heavily on employee habits. Training and guidance give staff a shared understanding of how to use AI safely, what information must never be entered, how to validate outputs, and when to escalate concerns. </w:t>
      </w:r>
      <w:r w:rsidR="002E2443">
        <w:rPr>
          <w:rFonts w:asciiTheme="majorHAnsi" w:hAnsiTheme="majorHAnsi" w:cstheme="majorHAnsi"/>
        </w:rPr>
        <w:t>Bank</w:t>
      </w:r>
      <w:r w:rsidRPr="002F2822">
        <w:rPr>
          <w:rFonts w:asciiTheme="majorHAnsi" w:hAnsiTheme="majorHAnsi" w:cstheme="majorHAnsi"/>
        </w:rPr>
        <w:t xml:space="preserve"> ties access to business need, completion of required training, and acknowledgment of the AI Usage Policy. The Bank reinforces consistent prompting and review </w:t>
      </w:r>
      <w:proofErr w:type="gramStart"/>
      <w:r w:rsidRPr="002F2822">
        <w:rPr>
          <w:rFonts w:asciiTheme="majorHAnsi" w:hAnsiTheme="majorHAnsi" w:cstheme="majorHAnsi"/>
        </w:rPr>
        <w:t>practices</w:t>
      </w:r>
      <w:proofErr w:type="gramEnd"/>
      <w:r w:rsidRPr="002F2822">
        <w:rPr>
          <w:rFonts w:asciiTheme="majorHAnsi" w:hAnsiTheme="majorHAnsi" w:cstheme="majorHAnsi"/>
        </w:rPr>
        <w:t xml:space="preserve"> so AI remains a helpful assistant rather than a source of risk.</w:t>
      </w:r>
    </w:p>
    <w:p w14:paraId="27565D2A" w14:textId="77777777" w:rsidR="005C79E4" w:rsidRDefault="005C79E4" w:rsidP="002F2822">
      <w:pPr>
        <w:pStyle w:val="Heading2"/>
        <w:spacing w:before="0" w:line="240" w:lineRule="auto"/>
        <w:rPr>
          <w:rFonts w:cstheme="majorHAnsi"/>
          <w:color w:val="auto"/>
          <w:sz w:val="22"/>
          <w:szCs w:val="22"/>
        </w:rPr>
      </w:pPr>
    </w:p>
    <w:p w14:paraId="0581C3AF" w14:textId="4925A5F4"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Training Requirements</w:t>
      </w:r>
    </w:p>
    <w:p w14:paraId="5E3CCF96"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Complete AI literacy and security training prior to access.</w:t>
      </w:r>
    </w:p>
    <w:p w14:paraId="5DF4A47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Acknowledge the AI Usage Policy as a condition of use.</w:t>
      </w:r>
    </w:p>
    <w:p w14:paraId="0D56C73F" w14:textId="25E392B8" w:rsidR="00491E29" w:rsidRPr="002F2822" w:rsidRDefault="00491E29" w:rsidP="005C79E4">
      <w:pPr>
        <w:pStyle w:val="ListBullet"/>
        <w:numPr>
          <w:ilvl w:val="0"/>
          <w:numId w:val="0"/>
        </w:numPr>
        <w:spacing w:after="0" w:line="240" w:lineRule="auto"/>
        <w:rPr>
          <w:rFonts w:asciiTheme="majorHAnsi" w:hAnsiTheme="majorHAnsi" w:cstheme="majorHAnsi"/>
        </w:rPr>
      </w:pPr>
    </w:p>
    <w:p w14:paraId="55267714" w14:textId="77777777"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Related Bank documents</w:t>
      </w:r>
    </w:p>
    <w:p w14:paraId="3FB32723"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Literacy Training Program</w:t>
      </w:r>
    </w:p>
    <w:p w14:paraId="56F140A1"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lastRenderedPageBreak/>
        <w:t>Generative AI Prompting Guide</w:t>
      </w:r>
    </w:p>
    <w:p w14:paraId="0049554E"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Guide to Using ChatGPT for Document and Spreadsheet Analysis</w:t>
      </w:r>
    </w:p>
    <w:p w14:paraId="7E950820" w14:textId="77777777" w:rsidR="00503342" w:rsidRDefault="00503342" w:rsidP="002F2822">
      <w:pPr>
        <w:pStyle w:val="Heading1"/>
        <w:spacing w:before="0" w:line="240" w:lineRule="auto"/>
        <w:rPr>
          <w:rFonts w:cstheme="majorHAnsi"/>
          <w:color w:val="auto"/>
          <w:sz w:val="22"/>
          <w:szCs w:val="22"/>
        </w:rPr>
      </w:pPr>
    </w:p>
    <w:p w14:paraId="185A4BA2" w14:textId="4119EA47"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Monitoring, Audit, and Examination Readiness</w:t>
      </w:r>
    </w:p>
    <w:p w14:paraId="5B144577" w14:textId="085A5562"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Because the Bank’s AI is assistive rather than decisioning, monitoring focuses on governance hygiene and evidence: what tools are approved, who has access, what use cases are active, whether training is current, and whether incidents occurred. The Bank maintains an AI inventory and </w:t>
      </w:r>
      <w:proofErr w:type="gramStart"/>
      <w:r w:rsidRPr="002F2822">
        <w:rPr>
          <w:rFonts w:asciiTheme="majorHAnsi" w:hAnsiTheme="majorHAnsi" w:cstheme="majorHAnsi"/>
        </w:rPr>
        <w:t>use</w:t>
      </w:r>
      <w:proofErr w:type="gramEnd"/>
      <w:r w:rsidRPr="002F2822">
        <w:rPr>
          <w:rFonts w:asciiTheme="majorHAnsi" w:hAnsiTheme="majorHAnsi" w:cstheme="majorHAnsi"/>
        </w:rPr>
        <w:t xml:space="preserve"> case register, retains training and acknowledgment records, retains vendor AI due diligence documentation, and keeps AIWG governance records. These records enable consistent responses to examiner questions and allow management to confirm that AI use remains within approved boundaries.</w:t>
      </w:r>
    </w:p>
    <w:p w14:paraId="42A70EEC" w14:textId="77777777" w:rsidR="00503342" w:rsidRDefault="00503342" w:rsidP="002F2822">
      <w:pPr>
        <w:pStyle w:val="Heading2"/>
        <w:spacing w:before="0" w:line="240" w:lineRule="auto"/>
        <w:rPr>
          <w:rFonts w:cstheme="majorHAnsi"/>
          <w:color w:val="auto"/>
          <w:sz w:val="22"/>
          <w:szCs w:val="22"/>
        </w:rPr>
      </w:pPr>
    </w:p>
    <w:p w14:paraId="33B9D69B" w14:textId="7C8987E5" w:rsidR="00491E29" w:rsidRPr="002F2822" w:rsidRDefault="00243FBD" w:rsidP="002F2822">
      <w:pPr>
        <w:pStyle w:val="Heading2"/>
        <w:spacing w:before="0" w:line="240" w:lineRule="auto"/>
        <w:rPr>
          <w:rFonts w:cstheme="majorHAnsi"/>
          <w:color w:val="auto"/>
          <w:sz w:val="22"/>
          <w:szCs w:val="22"/>
        </w:rPr>
      </w:pPr>
      <w:r w:rsidRPr="002F2822">
        <w:rPr>
          <w:rFonts w:cstheme="majorHAnsi"/>
          <w:color w:val="auto"/>
          <w:sz w:val="22"/>
          <w:szCs w:val="22"/>
        </w:rPr>
        <w:t>Records We Maintain (Minimum Set)</w:t>
      </w:r>
    </w:p>
    <w:p w14:paraId="7B6AC555"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 tool inventory and approved use cases.</w:t>
      </w:r>
    </w:p>
    <w:p w14:paraId="792ADF7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Training and acknowledgment records.</w:t>
      </w:r>
    </w:p>
    <w:p w14:paraId="45ADB7AA"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AIWG meeting notes, approvals, and quarterly summaries.</w:t>
      </w:r>
    </w:p>
    <w:p w14:paraId="346BC934" w14:textId="77777777" w:rsidR="00491E29" w:rsidRPr="002F2822" w:rsidRDefault="00243FBD" w:rsidP="002F2822">
      <w:pPr>
        <w:pStyle w:val="ListBullet"/>
        <w:spacing w:after="0" w:line="240" w:lineRule="auto"/>
        <w:rPr>
          <w:rFonts w:asciiTheme="majorHAnsi" w:hAnsiTheme="majorHAnsi" w:cstheme="majorHAnsi"/>
        </w:rPr>
      </w:pPr>
      <w:r w:rsidRPr="002F2822">
        <w:rPr>
          <w:rFonts w:asciiTheme="majorHAnsi" w:hAnsiTheme="majorHAnsi" w:cstheme="majorHAnsi"/>
        </w:rPr>
        <w:t>Incident/issue logs and corrective actions (if applicable).</w:t>
      </w:r>
    </w:p>
    <w:p w14:paraId="26129E91" w14:textId="7777777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Where practical, these records are maintained and tracked in the GRC platform.</w:t>
      </w:r>
    </w:p>
    <w:p w14:paraId="33716830" w14:textId="77777777" w:rsidR="00503342" w:rsidRDefault="00503342" w:rsidP="002F2822">
      <w:pPr>
        <w:pStyle w:val="Heading1"/>
        <w:spacing w:before="0" w:line="240" w:lineRule="auto"/>
        <w:rPr>
          <w:rFonts w:cstheme="majorHAnsi"/>
          <w:color w:val="auto"/>
          <w:sz w:val="22"/>
          <w:szCs w:val="22"/>
        </w:rPr>
      </w:pPr>
    </w:p>
    <w:p w14:paraId="3359EFE0" w14:textId="6A46A694"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t>Continuous Improvement</w:t>
      </w:r>
    </w:p>
    <w:p w14:paraId="1C543DFE" w14:textId="32552D40"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 xml:space="preserve">Continuous improvement keeps this Program useful rather than static. </w:t>
      </w:r>
      <w:r w:rsidR="002E2443">
        <w:rPr>
          <w:rFonts w:asciiTheme="majorHAnsi" w:hAnsiTheme="majorHAnsi" w:cstheme="majorHAnsi"/>
        </w:rPr>
        <w:t>Bank</w:t>
      </w:r>
      <w:r w:rsidRPr="002F2822">
        <w:rPr>
          <w:rFonts w:asciiTheme="majorHAnsi" w:hAnsiTheme="majorHAnsi" w:cstheme="majorHAnsi"/>
        </w:rPr>
        <w:t xml:space="preserve"> reviews the AIS Program at least annually and updates it when AI use or risks change. Triggers include adoption of a new AI tool, new AI features in a vendor product, proposed expansion into higher-risk use cases, or audit/incident findings. If the Bank moves toward Tier 2 or Tier 3 AI use, governance, controls, and documentation will be expanded before deployment.</w:t>
      </w:r>
    </w:p>
    <w:p w14:paraId="1207DB5B" w14:textId="5276FB30" w:rsidR="00D45BA5" w:rsidRPr="002F2822" w:rsidRDefault="00D45BA5" w:rsidP="002F2822">
      <w:pPr>
        <w:spacing w:after="0" w:line="240" w:lineRule="auto"/>
        <w:rPr>
          <w:rFonts w:asciiTheme="majorHAnsi" w:hAnsiTheme="majorHAnsi" w:cstheme="majorHAnsi"/>
        </w:rPr>
      </w:pPr>
      <w:r w:rsidRPr="002F2822">
        <w:rPr>
          <w:rFonts w:asciiTheme="majorHAnsi" w:hAnsiTheme="majorHAnsi" w:cstheme="majorHAnsi"/>
        </w:rPr>
        <w:br w:type="page"/>
      </w:r>
    </w:p>
    <w:p w14:paraId="66DAF60A" w14:textId="37FC93DB" w:rsidR="00491E29" w:rsidRPr="002F2822" w:rsidRDefault="00243FBD" w:rsidP="002F2822">
      <w:pPr>
        <w:pStyle w:val="Heading1"/>
        <w:spacing w:before="0" w:line="240" w:lineRule="auto"/>
        <w:rPr>
          <w:rFonts w:cstheme="majorHAnsi"/>
          <w:color w:val="auto"/>
          <w:sz w:val="22"/>
          <w:szCs w:val="22"/>
        </w:rPr>
      </w:pPr>
      <w:r w:rsidRPr="002F2822">
        <w:rPr>
          <w:rFonts w:cstheme="majorHAnsi"/>
          <w:color w:val="auto"/>
          <w:sz w:val="22"/>
          <w:szCs w:val="22"/>
        </w:rPr>
        <w:lastRenderedPageBreak/>
        <w:t xml:space="preserve">Appendix A: AIS Program Artifacts </w:t>
      </w:r>
    </w:p>
    <w:p w14:paraId="791DC362" w14:textId="19D68607" w:rsidR="00491E29" w:rsidRPr="002F2822" w:rsidRDefault="00243FBD" w:rsidP="002F2822">
      <w:pPr>
        <w:spacing w:after="0" w:line="240" w:lineRule="auto"/>
        <w:rPr>
          <w:rFonts w:asciiTheme="majorHAnsi" w:hAnsiTheme="majorHAnsi" w:cstheme="majorHAnsi"/>
        </w:rPr>
      </w:pPr>
      <w:r w:rsidRPr="002F2822">
        <w:rPr>
          <w:rFonts w:asciiTheme="majorHAnsi" w:hAnsiTheme="majorHAnsi" w:cstheme="majorHAnsi"/>
        </w:rPr>
        <w:t>This Program is designed to be demonstrable. The Bank maintains a small set of records that show what tools we approved</w:t>
      </w:r>
      <w:r w:rsidR="00503342">
        <w:rPr>
          <w:rFonts w:asciiTheme="majorHAnsi" w:hAnsiTheme="majorHAnsi" w:cstheme="majorHAnsi"/>
        </w:rPr>
        <w:t>.</w:t>
      </w:r>
      <w:r w:rsidRPr="002F2822">
        <w:rPr>
          <w:rFonts w:asciiTheme="majorHAnsi" w:hAnsiTheme="majorHAnsi" w:cstheme="majorHAnsi"/>
        </w:rPr>
        <w:t xml:space="preserve"> These artifacts reduce reliance on informal knowledge, make quarterly reviews efficient, and support consistent regulatory responses. Where feasible, artifacts are stored and tracked in the GRC platform.</w:t>
      </w:r>
    </w:p>
    <w:p w14:paraId="05DD7A12" w14:textId="3C26CA17" w:rsidR="00491E29" w:rsidRPr="00503342" w:rsidRDefault="00243FBD" w:rsidP="00503342">
      <w:pPr>
        <w:pStyle w:val="ListNumber"/>
        <w:numPr>
          <w:ilvl w:val="0"/>
          <w:numId w:val="10"/>
        </w:numPr>
        <w:spacing w:after="0" w:line="240" w:lineRule="auto"/>
        <w:rPr>
          <w:rFonts w:asciiTheme="majorHAnsi" w:hAnsiTheme="majorHAnsi" w:cstheme="majorHAnsi"/>
        </w:rPr>
      </w:pPr>
      <w:r w:rsidRPr="00503342">
        <w:rPr>
          <w:rFonts w:asciiTheme="majorHAnsi" w:hAnsiTheme="majorHAnsi" w:cstheme="majorHAnsi"/>
        </w:rPr>
        <w:t>AI Tool Inventory – approved AI tools, owners, and purpose.</w:t>
      </w:r>
    </w:p>
    <w:p w14:paraId="1CA0B492" w14:textId="04D3636C"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AI Use Case Register – active AI use cases and risk tier.</w:t>
      </w:r>
    </w:p>
    <w:p w14:paraId="5C3C0913" w14:textId="46DB7C03"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 xml:space="preserve">AI Risk Assessment Summary – risk assessment record for tools/use </w:t>
      </w:r>
    </w:p>
    <w:p w14:paraId="0634F50C"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Training and Acknowledgment Records – evidence of training completion and policy acknowledgments.</w:t>
      </w:r>
    </w:p>
    <w:p w14:paraId="5B2D72FD" w14:textId="77777777" w:rsidR="00491E29" w:rsidRPr="002F2822" w:rsidRDefault="00243FBD" w:rsidP="002F2822">
      <w:pPr>
        <w:pStyle w:val="ListNumber"/>
        <w:spacing w:after="0" w:line="240" w:lineRule="auto"/>
        <w:rPr>
          <w:rFonts w:asciiTheme="majorHAnsi" w:hAnsiTheme="majorHAnsi" w:cstheme="majorHAnsi"/>
        </w:rPr>
      </w:pPr>
      <w:r w:rsidRPr="002F2822">
        <w:rPr>
          <w:rFonts w:asciiTheme="majorHAnsi" w:hAnsiTheme="majorHAnsi" w:cstheme="majorHAnsi"/>
        </w:rPr>
        <w:t>AIWG Governance Records – meeting notes, approvals, and quarterly reporting summaries.</w:t>
      </w:r>
    </w:p>
    <w:sectPr w:rsidR="00491E29" w:rsidRPr="002F282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2557606">
    <w:abstractNumId w:val="8"/>
  </w:num>
  <w:num w:numId="2" w16cid:durableId="60183148">
    <w:abstractNumId w:val="6"/>
  </w:num>
  <w:num w:numId="3" w16cid:durableId="2091658814">
    <w:abstractNumId w:val="5"/>
  </w:num>
  <w:num w:numId="4" w16cid:durableId="532839256">
    <w:abstractNumId w:val="4"/>
  </w:num>
  <w:num w:numId="5" w16cid:durableId="1680350456">
    <w:abstractNumId w:val="7"/>
  </w:num>
  <w:num w:numId="6" w16cid:durableId="835464009">
    <w:abstractNumId w:val="3"/>
  </w:num>
  <w:num w:numId="7" w16cid:durableId="636109842">
    <w:abstractNumId w:val="2"/>
  </w:num>
  <w:num w:numId="8" w16cid:durableId="43256283">
    <w:abstractNumId w:val="1"/>
  </w:num>
  <w:num w:numId="9" w16cid:durableId="1309943970">
    <w:abstractNumId w:val="0"/>
  </w:num>
  <w:num w:numId="10" w16cid:durableId="131999070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E54"/>
    <w:rsid w:val="000D3631"/>
    <w:rsid w:val="000D439F"/>
    <w:rsid w:val="001145DC"/>
    <w:rsid w:val="0015074B"/>
    <w:rsid w:val="0015611F"/>
    <w:rsid w:val="00243FBD"/>
    <w:rsid w:val="0025076B"/>
    <w:rsid w:val="00283ADC"/>
    <w:rsid w:val="0029639D"/>
    <w:rsid w:val="002D662E"/>
    <w:rsid w:val="002E2443"/>
    <w:rsid w:val="002F2822"/>
    <w:rsid w:val="00326F90"/>
    <w:rsid w:val="0038061B"/>
    <w:rsid w:val="003D6DFB"/>
    <w:rsid w:val="004813A8"/>
    <w:rsid w:val="00491E29"/>
    <w:rsid w:val="00503342"/>
    <w:rsid w:val="005C79E4"/>
    <w:rsid w:val="00714EC0"/>
    <w:rsid w:val="0077328B"/>
    <w:rsid w:val="00831B20"/>
    <w:rsid w:val="009911B1"/>
    <w:rsid w:val="009D6F1D"/>
    <w:rsid w:val="00A03961"/>
    <w:rsid w:val="00A473B3"/>
    <w:rsid w:val="00AA1D8D"/>
    <w:rsid w:val="00B47730"/>
    <w:rsid w:val="00BC78BD"/>
    <w:rsid w:val="00C86799"/>
    <w:rsid w:val="00CB0664"/>
    <w:rsid w:val="00D45BA5"/>
    <w:rsid w:val="00EF5C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865C41A-7F02-43BB-967E-DAFB8B42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10</Pages>
  <Words>3166</Words>
  <Characters>19031</Characters>
  <Application>Microsoft Office Word</Application>
  <DocSecurity>0</DocSecurity>
  <Lines>404</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rbeachy@sturgis.bank</dc:creator>
  <cp:keywords/>
  <dc:description/>
  <cp:lastModifiedBy>Rob Beachy</cp:lastModifiedBy>
  <cp:revision>16</cp:revision>
  <dcterms:created xsi:type="dcterms:W3CDTF">2013-12-23T23:15:00Z</dcterms:created>
  <dcterms:modified xsi:type="dcterms:W3CDTF">2026-06-22T18:53:00Z</dcterms:modified>
  <cp:category/>
</cp:coreProperties>
</file>