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BBE6F" w14:textId="3DEF292D" w:rsidR="00764270" w:rsidRPr="00702640" w:rsidRDefault="00C522BF" w:rsidP="00622D33">
      <w:pPr>
        <w:spacing w:after="0" w:line="240" w:lineRule="auto"/>
        <w:jc w:val="center"/>
      </w:pPr>
      <w:r>
        <w:rPr>
          <w:b/>
          <w:sz w:val="40"/>
        </w:rPr>
        <w:t>Bank</w:t>
      </w:r>
    </w:p>
    <w:p w14:paraId="16956698" w14:textId="76118A15" w:rsidR="00764270" w:rsidRPr="00702640" w:rsidRDefault="00C0374C" w:rsidP="00622D33">
      <w:pPr>
        <w:pBdr>
          <w:bottom w:val="single" w:sz="4" w:space="1" w:color="auto"/>
        </w:pBdr>
        <w:spacing w:after="0" w:line="240" w:lineRule="auto"/>
        <w:jc w:val="center"/>
      </w:pPr>
      <w:r w:rsidRPr="00702640">
        <w:rPr>
          <w:b/>
          <w:sz w:val="28"/>
        </w:rPr>
        <w:t xml:space="preserve">AI Working Group (AIWG) </w:t>
      </w:r>
      <w:r w:rsidR="003223BD" w:rsidRPr="00702640">
        <w:rPr>
          <w:b/>
          <w:sz w:val="28"/>
        </w:rPr>
        <w:t>Charter</w:t>
      </w:r>
    </w:p>
    <w:p w14:paraId="3B5D27C3" w14:textId="3914667D" w:rsidR="00622D33" w:rsidRDefault="00622D33" w:rsidP="00622D33">
      <w:pPr>
        <w:pStyle w:val="Heading1"/>
        <w:spacing w:before="0" w:line="240" w:lineRule="auto"/>
        <w:rPr>
          <w:b w:val="0"/>
          <w:bCs w:val="0"/>
          <w:color w:val="auto"/>
          <w:sz w:val="24"/>
          <w:szCs w:val="24"/>
        </w:rPr>
      </w:pPr>
      <w:r>
        <w:rPr>
          <w:b w:val="0"/>
          <w:bCs w:val="0"/>
          <w:color w:val="auto"/>
          <w:sz w:val="24"/>
          <w:szCs w:val="24"/>
        </w:rPr>
        <w:t xml:space="preserve">Last Reviewed Date: </w:t>
      </w:r>
    </w:p>
    <w:p w14:paraId="1DD0A0B7" w14:textId="77777777" w:rsidR="00622D33" w:rsidRPr="00622D33" w:rsidRDefault="00622D33" w:rsidP="00622D33"/>
    <w:p w14:paraId="5C6E8A16" w14:textId="09AC8B00" w:rsidR="00764270" w:rsidRPr="00622D33" w:rsidRDefault="00C0374C" w:rsidP="00622D33">
      <w:pPr>
        <w:pStyle w:val="Heading1"/>
        <w:spacing w:before="0" w:line="240" w:lineRule="auto"/>
        <w:rPr>
          <w:b w:val="0"/>
          <w:bCs w:val="0"/>
          <w:color w:val="auto"/>
          <w:sz w:val="24"/>
          <w:szCs w:val="24"/>
        </w:rPr>
      </w:pPr>
      <w:r w:rsidRPr="00622D33">
        <w:rPr>
          <w:b w:val="0"/>
          <w:bCs w:val="0"/>
          <w:color w:val="auto"/>
          <w:sz w:val="24"/>
          <w:szCs w:val="24"/>
        </w:rPr>
        <w:t>Purpose</w:t>
      </w:r>
    </w:p>
    <w:p w14:paraId="17B44BE1" w14:textId="77777777" w:rsidR="00764270" w:rsidRPr="00622D33" w:rsidRDefault="00C0374C" w:rsidP="00622D33">
      <w:pPr>
        <w:spacing w:after="0" w:line="240" w:lineRule="auto"/>
      </w:pPr>
      <w:r w:rsidRPr="00622D33">
        <w:t>The AI Working Group (AIWG) is established to provide governance and oversight of the Bank’s use of Artificial Intelligence (AI) Systems. The AIWG ensures that AI tools are used responsibly, securely, and in alignment with Bank strategy, risk appetite, and regulatory expectations. The AIWG is the designated governance body for the Bank’s AIS Program.</w:t>
      </w:r>
    </w:p>
    <w:p w14:paraId="3EF88CE6" w14:textId="77777777" w:rsidR="00622D33" w:rsidRDefault="00622D33" w:rsidP="00622D33">
      <w:pPr>
        <w:pStyle w:val="Heading1"/>
        <w:spacing w:before="0" w:line="240" w:lineRule="auto"/>
        <w:rPr>
          <w:b w:val="0"/>
          <w:bCs w:val="0"/>
          <w:color w:val="auto"/>
          <w:sz w:val="24"/>
          <w:szCs w:val="24"/>
        </w:rPr>
      </w:pPr>
    </w:p>
    <w:p w14:paraId="7ACFC110" w14:textId="67B251C9" w:rsidR="00764270" w:rsidRPr="00622D33" w:rsidRDefault="00702640" w:rsidP="00622D33">
      <w:pPr>
        <w:pStyle w:val="Heading1"/>
        <w:spacing w:before="0" w:line="240" w:lineRule="auto"/>
        <w:rPr>
          <w:b w:val="0"/>
          <w:bCs w:val="0"/>
          <w:color w:val="auto"/>
          <w:sz w:val="24"/>
          <w:szCs w:val="24"/>
        </w:rPr>
      </w:pPr>
      <w:r w:rsidRPr="00622D33">
        <w:rPr>
          <w:b w:val="0"/>
          <w:bCs w:val="0"/>
          <w:color w:val="auto"/>
          <w:sz w:val="24"/>
          <w:szCs w:val="24"/>
        </w:rPr>
        <w:t>Scope\Responsibility</w:t>
      </w:r>
    </w:p>
    <w:p w14:paraId="0F2E8A36" w14:textId="29A5AC36" w:rsidR="00764270" w:rsidRPr="00622D33" w:rsidRDefault="00C0374C" w:rsidP="00622D33">
      <w:pPr>
        <w:spacing w:after="0" w:line="240" w:lineRule="auto"/>
      </w:pPr>
      <w:r w:rsidRPr="00622D33">
        <w:t>The AIWG oversees AI tools and use cases across the Bank’s business functions, with a focus on preventing adverse outcomes, protecting data, and ensuring human accountability. In practice, the AIWG reviews and approves AI use cases and tool changes, assigns AI risk tiers</w:t>
      </w:r>
      <w:r w:rsidR="00702640" w:rsidRPr="00622D33">
        <w:t xml:space="preserve"> where appropriate</w:t>
      </w:r>
      <w:r w:rsidRPr="00622D33">
        <w:t xml:space="preserve">, ensures training </w:t>
      </w:r>
      <w:r w:rsidR="00282F60">
        <w:t xml:space="preserve">is </w:t>
      </w:r>
      <w:r w:rsidRPr="00622D33">
        <w:t>in place, and maintains program evidence for examinations.</w:t>
      </w:r>
    </w:p>
    <w:p w14:paraId="0778F5CA" w14:textId="77777777" w:rsidR="00764270" w:rsidRPr="00622D33" w:rsidRDefault="00C0374C" w:rsidP="00622D33">
      <w:pPr>
        <w:spacing w:after="0" w:line="240" w:lineRule="auto"/>
      </w:pPr>
      <w:r w:rsidRPr="00622D33">
        <w:t>Core responsibilities include:</w:t>
      </w:r>
    </w:p>
    <w:p w14:paraId="4679F464" w14:textId="738F6207" w:rsidR="00764270" w:rsidRPr="00622D33" w:rsidRDefault="00282F60" w:rsidP="00622D33">
      <w:pPr>
        <w:pStyle w:val="ListBullet"/>
        <w:spacing w:after="0" w:line="240" w:lineRule="auto"/>
      </w:pPr>
      <w:r>
        <w:t>Govern</w:t>
      </w:r>
      <w:r w:rsidR="00C0374C" w:rsidRPr="00622D33">
        <w:t xml:space="preserve"> the AIS Program and recommend updates at least annually.</w:t>
      </w:r>
    </w:p>
    <w:p w14:paraId="4FA16809" w14:textId="77777777" w:rsidR="00764270" w:rsidRPr="00622D33" w:rsidRDefault="00C0374C" w:rsidP="00622D33">
      <w:pPr>
        <w:pStyle w:val="ListBullet"/>
        <w:spacing w:after="0" w:line="240" w:lineRule="auto"/>
      </w:pPr>
      <w:r w:rsidRPr="00622D33">
        <w:t>Review and approve AI tools and AI use cases prior to adoption or expansion.</w:t>
      </w:r>
    </w:p>
    <w:p w14:paraId="51541E18" w14:textId="77777777" w:rsidR="00764270" w:rsidRPr="00622D33" w:rsidRDefault="00C0374C" w:rsidP="00622D33">
      <w:pPr>
        <w:pStyle w:val="ListBullet"/>
        <w:spacing w:after="0" w:line="240" w:lineRule="auto"/>
      </w:pPr>
      <w:r w:rsidRPr="00622D33">
        <w:t>Maintain and review the AI Tool &amp; System Register and AI Use Case Register.</w:t>
      </w:r>
    </w:p>
    <w:p w14:paraId="23136573" w14:textId="77777777" w:rsidR="00764270" w:rsidRPr="00622D33" w:rsidRDefault="00C0374C" w:rsidP="00622D33">
      <w:pPr>
        <w:pStyle w:val="ListBullet"/>
        <w:spacing w:after="0" w:line="240" w:lineRule="auto"/>
      </w:pPr>
      <w:r w:rsidRPr="00622D33">
        <w:t>Review access and training compliance metrics and resolve gaps.</w:t>
      </w:r>
    </w:p>
    <w:p w14:paraId="3A27A161" w14:textId="77777777" w:rsidR="00764270" w:rsidRPr="00622D33" w:rsidRDefault="00C0374C" w:rsidP="00622D33">
      <w:pPr>
        <w:pStyle w:val="ListBullet"/>
        <w:spacing w:after="0" w:line="240" w:lineRule="auto"/>
      </w:pPr>
      <w:r w:rsidRPr="00622D33">
        <w:t>Oversee vendor AI due diligence requirements and track ongoing vendor monitoring.</w:t>
      </w:r>
    </w:p>
    <w:p w14:paraId="1D66CD59" w14:textId="77777777" w:rsidR="00764270" w:rsidRPr="00622D33" w:rsidRDefault="00C0374C" w:rsidP="00622D33">
      <w:pPr>
        <w:pStyle w:val="ListBullet"/>
        <w:spacing w:after="0" w:line="240" w:lineRule="auto"/>
      </w:pPr>
      <w:r w:rsidRPr="00622D33">
        <w:t>Review AI incidents/near-misses and ensure corrective actions are completed.</w:t>
      </w:r>
    </w:p>
    <w:p w14:paraId="0BE09146" w14:textId="545EE519" w:rsidR="00764270" w:rsidRPr="00622D33" w:rsidRDefault="00C0374C" w:rsidP="00622D33">
      <w:pPr>
        <w:pStyle w:val="ListBullet"/>
        <w:spacing w:after="0" w:line="240" w:lineRule="auto"/>
      </w:pPr>
      <w:r w:rsidRPr="00622D33">
        <w:t>Provide quarterly updates to Executive Leadership Team (ELT) and escalate material items to the Board</w:t>
      </w:r>
      <w:r w:rsidR="00282F60">
        <w:t>, or board committee (ITSC)</w:t>
      </w:r>
      <w:r w:rsidRPr="00622D33">
        <w:t xml:space="preserve"> as appropriate.</w:t>
      </w:r>
    </w:p>
    <w:p w14:paraId="628173A4" w14:textId="77777777" w:rsidR="00622D33" w:rsidRDefault="00622D33" w:rsidP="00622D33">
      <w:pPr>
        <w:pStyle w:val="Heading1"/>
        <w:spacing w:before="0" w:line="240" w:lineRule="auto"/>
        <w:rPr>
          <w:b w:val="0"/>
          <w:bCs w:val="0"/>
          <w:color w:val="auto"/>
          <w:sz w:val="24"/>
          <w:szCs w:val="24"/>
        </w:rPr>
      </w:pPr>
    </w:p>
    <w:p w14:paraId="4131D7E9" w14:textId="60421737" w:rsidR="00764270" w:rsidRPr="00622D33" w:rsidRDefault="00C0374C" w:rsidP="00622D33">
      <w:pPr>
        <w:pStyle w:val="Heading1"/>
        <w:spacing w:before="0" w:line="240" w:lineRule="auto"/>
        <w:rPr>
          <w:b w:val="0"/>
          <w:bCs w:val="0"/>
          <w:color w:val="auto"/>
          <w:sz w:val="24"/>
          <w:szCs w:val="24"/>
        </w:rPr>
      </w:pPr>
      <w:r w:rsidRPr="00622D33">
        <w:rPr>
          <w:b w:val="0"/>
          <w:bCs w:val="0"/>
          <w:color w:val="auto"/>
          <w:sz w:val="24"/>
          <w:szCs w:val="24"/>
        </w:rPr>
        <w:t>Membership</w:t>
      </w:r>
    </w:p>
    <w:p w14:paraId="3034E94D" w14:textId="5E740169" w:rsidR="00764270" w:rsidRPr="00622D33" w:rsidRDefault="00C0374C" w:rsidP="00622D33">
      <w:pPr>
        <w:spacing w:after="0" w:line="240" w:lineRule="auto"/>
      </w:pPr>
      <w:r w:rsidRPr="00622D33">
        <w:t xml:space="preserve">The AIWG is comprised of cross-functional representatives to ensure balanced oversight. Membership </w:t>
      </w:r>
      <w:r w:rsidR="00283724" w:rsidRPr="00622D33">
        <w:t>will</w:t>
      </w:r>
      <w:r w:rsidRPr="00622D33">
        <w:t xml:space="preserve"> include IT leadership, Information Security, Risk Management, Compliance, and other stakeholders as appropriate. Members are expected to bring forward AI use cases, concerns, and updates from their areas and participate in reviews and approvals.</w:t>
      </w:r>
    </w:p>
    <w:p w14:paraId="78E6F8C6" w14:textId="77777777" w:rsidR="00764270" w:rsidRPr="00622D33" w:rsidRDefault="00C0374C" w:rsidP="00622D33">
      <w:pPr>
        <w:spacing w:after="0" w:line="240" w:lineRule="auto"/>
      </w:pPr>
      <w:r w:rsidRPr="00622D33">
        <w:t>Minimum membership roles (may be adjusted by management):</w:t>
      </w:r>
    </w:p>
    <w:p w14:paraId="4FE2C0E9" w14:textId="77777777" w:rsidR="00764270" w:rsidRPr="00622D33" w:rsidRDefault="00C0374C" w:rsidP="00622D33">
      <w:pPr>
        <w:pStyle w:val="ListBullet"/>
        <w:spacing w:after="0" w:line="240" w:lineRule="auto"/>
      </w:pPr>
      <w:r w:rsidRPr="00622D33">
        <w:t>Chief Information Officer (Chair/Program Owner)</w:t>
      </w:r>
    </w:p>
    <w:p w14:paraId="490F8396" w14:textId="77777777" w:rsidR="00764270" w:rsidRPr="00622D33" w:rsidRDefault="00C0374C" w:rsidP="00622D33">
      <w:pPr>
        <w:pStyle w:val="ListBullet"/>
        <w:spacing w:after="0" w:line="240" w:lineRule="auto"/>
      </w:pPr>
      <w:r w:rsidRPr="00622D33">
        <w:t>Information Security Officer</w:t>
      </w:r>
    </w:p>
    <w:p w14:paraId="7337DC45" w14:textId="2787F513" w:rsidR="00764270" w:rsidRPr="00622D33" w:rsidRDefault="00C0374C" w:rsidP="00622D33">
      <w:pPr>
        <w:pStyle w:val="ListBullet"/>
        <w:spacing w:after="0" w:line="240" w:lineRule="auto"/>
      </w:pPr>
      <w:r w:rsidRPr="00622D33">
        <w:t>Chief Risk Officer</w:t>
      </w:r>
    </w:p>
    <w:p w14:paraId="410A278C" w14:textId="33F95D21" w:rsidR="00764270" w:rsidRPr="00622D33" w:rsidRDefault="00B94B2B" w:rsidP="00622D33">
      <w:pPr>
        <w:pStyle w:val="ListBullet"/>
        <w:spacing w:after="0" w:line="240" w:lineRule="auto"/>
      </w:pPr>
      <w:r w:rsidRPr="00622D33">
        <w:t>Chief Compliance Officer</w:t>
      </w:r>
    </w:p>
    <w:p w14:paraId="3D9BEFAA" w14:textId="6471EC35" w:rsidR="00764270" w:rsidRPr="00622D33" w:rsidRDefault="00283724" w:rsidP="00622D33">
      <w:pPr>
        <w:pStyle w:val="ListBullet"/>
        <w:spacing w:after="0" w:line="240" w:lineRule="auto"/>
      </w:pPr>
      <w:r w:rsidRPr="00622D33">
        <w:t>COO\President</w:t>
      </w:r>
    </w:p>
    <w:p w14:paraId="22462361" w14:textId="17DE7532" w:rsidR="00764270" w:rsidRPr="00622D33" w:rsidRDefault="00283724" w:rsidP="00622D33">
      <w:pPr>
        <w:pStyle w:val="ListBullet"/>
        <w:spacing w:after="0" w:line="240" w:lineRule="auto"/>
      </w:pPr>
      <w:r w:rsidRPr="00622D33">
        <w:t>VP, Director of Human Resources</w:t>
      </w:r>
    </w:p>
    <w:p w14:paraId="75FDF351" w14:textId="41FF276B" w:rsidR="00283724" w:rsidRDefault="00283724" w:rsidP="00622D33">
      <w:pPr>
        <w:pStyle w:val="ListBullet"/>
        <w:spacing w:after="0" w:line="240" w:lineRule="auto"/>
      </w:pPr>
      <w:r w:rsidRPr="00622D33">
        <w:t>AVP, Network Administrator</w:t>
      </w:r>
    </w:p>
    <w:p w14:paraId="096B6517" w14:textId="2F7CAF8C" w:rsidR="0013623D" w:rsidRPr="00622D33" w:rsidRDefault="0013623D" w:rsidP="00622D33">
      <w:pPr>
        <w:pStyle w:val="ListBullet"/>
        <w:spacing w:after="0" w:line="240" w:lineRule="auto"/>
      </w:pPr>
      <w:r>
        <w:t>CFO</w:t>
      </w:r>
    </w:p>
    <w:p w14:paraId="40F14A8E" w14:textId="03C5FBF0" w:rsidR="00622D33" w:rsidRDefault="00622D33">
      <w:pPr>
        <w:rPr>
          <w:rFonts w:asciiTheme="majorHAnsi" w:eastAsiaTheme="majorEastAsia" w:hAnsiTheme="majorHAnsi" w:cstheme="majorBidi"/>
          <w:sz w:val="24"/>
          <w:szCs w:val="24"/>
        </w:rPr>
      </w:pPr>
      <w:r>
        <w:rPr>
          <w:b/>
          <w:bCs/>
          <w:sz w:val="24"/>
          <w:szCs w:val="24"/>
        </w:rPr>
        <w:br w:type="page"/>
      </w:r>
    </w:p>
    <w:p w14:paraId="77C7F2D0" w14:textId="1B3E528A" w:rsidR="00764270" w:rsidRPr="00622D33" w:rsidRDefault="00C0374C" w:rsidP="00622D33">
      <w:pPr>
        <w:pStyle w:val="Heading1"/>
        <w:spacing w:before="0" w:line="240" w:lineRule="auto"/>
        <w:rPr>
          <w:b w:val="0"/>
          <w:bCs w:val="0"/>
          <w:color w:val="auto"/>
          <w:sz w:val="24"/>
          <w:szCs w:val="24"/>
        </w:rPr>
      </w:pPr>
      <w:r w:rsidRPr="00622D33">
        <w:rPr>
          <w:b w:val="0"/>
          <w:bCs w:val="0"/>
          <w:color w:val="auto"/>
          <w:sz w:val="24"/>
          <w:szCs w:val="24"/>
        </w:rPr>
        <w:lastRenderedPageBreak/>
        <w:t>Meeting Cadence and Agenda</w:t>
      </w:r>
    </w:p>
    <w:p w14:paraId="4CBB06B4" w14:textId="3184CE51" w:rsidR="00764270" w:rsidRPr="00622D33" w:rsidRDefault="00C0374C" w:rsidP="00622D33">
      <w:pPr>
        <w:spacing w:after="0" w:line="240" w:lineRule="auto"/>
      </w:pPr>
      <w:r w:rsidRPr="00622D33">
        <w:t xml:space="preserve">The AIWG meets as needed and at least quarterly. Meetings </w:t>
      </w:r>
      <w:r w:rsidR="00283724" w:rsidRPr="00622D33">
        <w:t>will include an</w:t>
      </w:r>
      <w:r w:rsidRPr="00622D33">
        <w:t xml:space="preserve"> agenda to ensure oversight evidence is created. Meeting topics typically include tool approvals/changes, use case approvals, access and training compliance, vendor AI updates, incidents and lessons learned, and upcoming regulatory or policy changes</w:t>
      </w:r>
      <w:r w:rsidR="00283724" w:rsidRPr="00622D33">
        <w:t xml:space="preserve"> will be noted in meeting minutes and presented to the Board of Directors or a representative subcommittee, such as the ITSC</w:t>
      </w:r>
      <w:r w:rsidRPr="00622D33">
        <w:t>.</w:t>
      </w:r>
    </w:p>
    <w:p w14:paraId="40C02074" w14:textId="77777777" w:rsidR="00622D33" w:rsidRDefault="00622D33" w:rsidP="00622D33">
      <w:pPr>
        <w:pStyle w:val="Heading1"/>
        <w:spacing w:before="0" w:line="240" w:lineRule="auto"/>
        <w:rPr>
          <w:b w:val="0"/>
          <w:bCs w:val="0"/>
          <w:color w:val="auto"/>
          <w:sz w:val="24"/>
          <w:szCs w:val="24"/>
        </w:rPr>
      </w:pPr>
    </w:p>
    <w:p w14:paraId="3DFD0C05" w14:textId="18A65964" w:rsidR="00764270" w:rsidRPr="00622D33" w:rsidRDefault="00C0374C" w:rsidP="00622D33">
      <w:pPr>
        <w:pStyle w:val="Heading1"/>
        <w:spacing w:before="0" w:line="240" w:lineRule="auto"/>
        <w:rPr>
          <w:b w:val="0"/>
          <w:bCs w:val="0"/>
          <w:color w:val="auto"/>
          <w:sz w:val="24"/>
          <w:szCs w:val="24"/>
        </w:rPr>
      </w:pPr>
      <w:r w:rsidRPr="00622D33">
        <w:rPr>
          <w:b w:val="0"/>
          <w:bCs w:val="0"/>
          <w:color w:val="auto"/>
          <w:sz w:val="24"/>
          <w:szCs w:val="24"/>
        </w:rPr>
        <w:t>Decision-Making and Escalation</w:t>
      </w:r>
    </w:p>
    <w:p w14:paraId="2FC2F37C" w14:textId="56EA86FB" w:rsidR="00764270" w:rsidRPr="00622D33" w:rsidRDefault="00C0374C" w:rsidP="00622D33">
      <w:pPr>
        <w:spacing w:after="0" w:line="240" w:lineRule="auto"/>
      </w:pPr>
      <w:r w:rsidRPr="00622D33">
        <w:t xml:space="preserve">Decisions are made by </w:t>
      </w:r>
      <w:proofErr w:type="gramStart"/>
      <w:r w:rsidRPr="00622D33">
        <w:t>consensus</w:t>
      </w:r>
      <w:proofErr w:type="gramEnd"/>
      <w:r w:rsidRPr="00622D33">
        <w:t xml:space="preserve"> when possible, with the CIO serving as chair to resolve impasses and ensure action. Items requiring escalation include suspected data exposure, potential consumer impact, expansion </w:t>
      </w:r>
      <w:r w:rsidR="00283724" w:rsidRPr="00622D33">
        <w:t>of uses</w:t>
      </w:r>
      <w:r w:rsidRPr="00622D33">
        <w:t>, significant vendor AI changes, or repeated output issues that indicate control breakdowns</w:t>
      </w:r>
      <w:r w:rsidR="00283724" w:rsidRPr="00622D33">
        <w:t xml:space="preserve"> will follow already established procedures to include incident management, business continuity and Vendor Management guidelines</w:t>
      </w:r>
      <w:r w:rsidRPr="00622D33">
        <w:t>.</w:t>
      </w:r>
    </w:p>
    <w:p w14:paraId="7F550A44" w14:textId="77777777" w:rsidR="00622D33" w:rsidRDefault="00622D33" w:rsidP="00622D33">
      <w:pPr>
        <w:pStyle w:val="Heading1"/>
        <w:spacing w:before="0" w:line="240" w:lineRule="auto"/>
        <w:rPr>
          <w:b w:val="0"/>
          <w:bCs w:val="0"/>
          <w:color w:val="auto"/>
          <w:sz w:val="24"/>
          <w:szCs w:val="24"/>
        </w:rPr>
      </w:pPr>
    </w:p>
    <w:p w14:paraId="6503A374" w14:textId="25A9D4CA" w:rsidR="00764270" w:rsidRPr="00622D33" w:rsidRDefault="00C0374C" w:rsidP="00622D33">
      <w:pPr>
        <w:pStyle w:val="Heading1"/>
        <w:spacing w:before="0" w:line="240" w:lineRule="auto"/>
        <w:rPr>
          <w:b w:val="0"/>
          <w:bCs w:val="0"/>
          <w:color w:val="auto"/>
          <w:sz w:val="24"/>
          <w:szCs w:val="24"/>
        </w:rPr>
      </w:pPr>
      <w:r w:rsidRPr="00622D33">
        <w:rPr>
          <w:b w:val="0"/>
          <w:bCs w:val="0"/>
          <w:color w:val="auto"/>
          <w:sz w:val="24"/>
          <w:szCs w:val="24"/>
        </w:rPr>
        <w:t>Records and Reporting</w:t>
      </w:r>
    </w:p>
    <w:p w14:paraId="57A276F3" w14:textId="2FA9E621" w:rsidR="00764270" w:rsidRPr="00622D33" w:rsidRDefault="00C0374C" w:rsidP="00622D33">
      <w:pPr>
        <w:spacing w:after="0" w:line="240" w:lineRule="auto"/>
      </w:pPr>
      <w:r w:rsidRPr="00622D33">
        <w:t xml:space="preserve">The AIWG maintains governance records and provides evidence of oversight. Meeting minutes and decisions </w:t>
      </w:r>
      <w:r w:rsidR="00283724" w:rsidRPr="00622D33">
        <w:t>will be maintained</w:t>
      </w:r>
      <w:r w:rsidRPr="00622D33">
        <w:t xml:space="preserve">. </w:t>
      </w:r>
    </w:p>
    <w:p w14:paraId="48AD0285" w14:textId="77777777" w:rsidR="00D53C9E" w:rsidRDefault="00D53C9E" w:rsidP="00622D33">
      <w:pPr>
        <w:pStyle w:val="Heading1"/>
        <w:spacing w:before="0" w:line="240" w:lineRule="auto"/>
        <w:rPr>
          <w:b w:val="0"/>
          <w:bCs w:val="0"/>
          <w:color w:val="auto"/>
          <w:sz w:val="24"/>
          <w:szCs w:val="24"/>
        </w:rPr>
      </w:pPr>
    </w:p>
    <w:p w14:paraId="0EBA3201" w14:textId="4EEBD73C" w:rsidR="00764270" w:rsidRPr="00622D33" w:rsidRDefault="00C0374C" w:rsidP="00622D33">
      <w:pPr>
        <w:pStyle w:val="Heading1"/>
        <w:spacing w:before="0" w:line="240" w:lineRule="auto"/>
        <w:rPr>
          <w:b w:val="0"/>
          <w:bCs w:val="0"/>
          <w:color w:val="auto"/>
          <w:sz w:val="24"/>
          <w:szCs w:val="24"/>
        </w:rPr>
      </w:pPr>
      <w:r w:rsidRPr="00622D33">
        <w:rPr>
          <w:b w:val="0"/>
          <w:bCs w:val="0"/>
          <w:color w:val="auto"/>
          <w:sz w:val="24"/>
          <w:szCs w:val="24"/>
        </w:rPr>
        <w:t>Charter Review</w:t>
      </w:r>
    </w:p>
    <w:p w14:paraId="181D0F28" w14:textId="77777777" w:rsidR="00764270" w:rsidRPr="00622D33" w:rsidRDefault="00C0374C" w:rsidP="00622D33">
      <w:pPr>
        <w:spacing w:after="0" w:line="240" w:lineRule="auto"/>
      </w:pPr>
      <w:r w:rsidRPr="00622D33">
        <w:t>This charter is reviewed at least annually and updated as needed to reflect changes in Bank AI use, regulatory expectations, or governance structure.</w:t>
      </w:r>
    </w:p>
    <w:p w14:paraId="1D9D8C1D" w14:textId="77777777" w:rsidR="00622D33" w:rsidRDefault="00622D33" w:rsidP="00622D33">
      <w:pPr>
        <w:pStyle w:val="Heading1"/>
        <w:spacing w:before="0" w:line="240" w:lineRule="auto"/>
        <w:rPr>
          <w:b w:val="0"/>
          <w:bCs w:val="0"/>
          <w:color w:val="auto"/>
          <w:sz w:val="24"/>
          <w:szCs w:val="24"/>
        </w:rPr>
      </w:pPr>
    </w:p>
    <w:p w14:paraId="2DDB2D40" w14:textId="7C77DE71" w:rsidR="00764270" w:rsidRPr="00622D33" w:rsidRDefault="00C0374C" w:rsidP="00622D33">
      <w:pPr>
        <w:pStyle w:val="Heading1"/>
        <w:spacing w:before="0" w:line="240" w:lineRule="auto"/>
        <w:rPr>
          <w:b w:val="0"/>
          <w:bCs w:val="0"/>
          <w:color w:val="auto"/>
          <w:sz w:val="24"/>
          <w:szCs w:val="24"/>
        </w:rPr>
      </w:pPr>
      <w:r w:rsidRPr="00622D33">
        <w:rPr>
          <w:b w:val="0"/>
          <w:bCs w:val="0"/>
          <w:color w:val="auto"/>
          <w:sz w:val="24"/>
          <w:szCs w:val="24"/>
        </w:rPr>
        <w:t>Related Program Documents and Trackers</w:t>
      </w:r>
    </w:p>
    <w:p w14:paraId="4C63C12C" w14:textId="77777777" w:rsidR="00764270" w:rsidRPr="00622D33" w:rsidRDefault="00C0374C" w:rsidP="00622D33">
      <w:pPr>
        <w:pStyle w:val="ListBullet"/>
        <w:spacing w:after="0" w:line="240" w:lineRule="auto"/>
      </w:pPr>
      <w:r w:rsidRPr="00622D33">
        <w:t>AIS Program</w:t>
      </w:r>
    </w:p>
    <w:p w14:paraId="29F6956B" w14:textId="77777777" w:rsidR="00764270" w:rsidRPr="00622D33" w:rsidRDefault="00C0374C" w:rsidP="00622D33">
      <w:pPr>
        <w:pStyle w:val="ListBullet"/>
        <w:spacing w:after="0" w:line="240" w:lineRule="auto"/>
      </w:pPr>
      <w:r w:rsidRPr="00622D33">
        <w:t>AI Usage Policy</w:t>
      </w:r>
    </w:p>
    <w:p w14:paraId="667DDDEB" w14:textId="77777777" w:rsidR="00764270" w:rsidRPr="00622D33" w:rsidRDefault="00C0374C" w:rsidP="00622D33">
      <w:pPr>
        <w:pStyle w:val="ListBullet"/>
        <w:spacing w:after="0" w:line="240" w:lineRule="auto"/>
      </w:pPr>
      <w:r w:rsidRPr="00622D33">
        <w:t>AI Tool &amp; System Register</w:t>
      </w:r>
    </w:p>
    <w:p w14:paraId="05B76FA5" w14:textId="77777777" w:rsidR="00764270" w:rsidRPr="00622D33" w:rsidRDefault="00C0374C" w:rsidP="00622D33">
      <w:pPr>
        <w:pStyle w:val="ListBullet"/>
        <w:spacing w:after="0" w:line="240" w:lineRule="auto"/>
      </w:pPr>
      <w:r w:rsidRPr="00622D33">
        <w:t>AI Use Case Register</w:t>
      </w:r>
    </w:p>
    <w:p w14:paraId="6942B64D" w14:textId="7C62EC54" w:rsidR="00764270" w:rsidRPr="00622D33" w:rsidRDefault="00C0374C" w:rsidP="00622D33">
      <w:pPr>
        <w:pStyle w:val="ListBullet"/>
        <w:spacing w:after="0" w:line="240" w:lineRule="auto"/>
      </w:pPr>
      <w:r w:rsidRPr="00622D33">
        <w:t>AI Access &amp; Training Tracker</w:t>
      </w:r>
    </w:p>
    <w:sectPr w:rsidR="00764270" w:rsidRPr="00622D3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6127818">
    <w:abstractNumId w:val="8"/>
  </w:num>
  <w:num w:numId="2" w16cid:durableId="930893217">
    <w:abstractNumId w:val="6"/>
  </w:num>
  <w:num w:numId="3" w16cid:durableId="1348286558">
    <w:abstractNumId w:val="5"/>
  </w:num>
  <w:num w:numId="4" w16cid:durableId="408969482">
    <w:abstractNumId w:val="4"/>
  </w:num>
  <w:num w:numId="5" w16cid:durableId="1814445838">
    <w:abstractNumId w:val="7"/>
  </w:num>
  <w:num w:numId="6" w16cid:durableId="1406997635">
    <w:abstractNumId w:val="3"/>
  </w:num>
  <w:num w:numId="7" w16cid:durableId="1614630617">
    <w:abstractNumId w:val="2"/>
  </w:num>
  <w:num w:numId="8" w16cid:durableId="496851080">
    <w:abstractNumId w:val="1"/>
  </w:num>
  <w:num w:numId="9" w16cid:durableId="1995986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39F"/>
    <w:rsid w:val="0013623D"/>
    <w:rsid w:val="0015074B"/>
    <w:rsid w:val="001A626F"/>
    <w:rsid w:val="0025076B"/>
    <w:rsid w:val="00282F60"/>
    <w:rsid w:val="00283724"/>
    <w:rsid w:val="0029639D"/>
    <w:rsid w:val="003223BD"/>
    <w:rsid w:val="00326F90"/>
    <w:rsid w:val="003D6DFB"/>
    <w:rsid w:val="004813A8"/>
    <w:rsid w:val="00622D33"/>
    <w:rsid w:val="00702640"/>
    <w:rsid w:val="00764270"/>
    <w:rsid w:val="0076501C"/>
    <w:rsid w:val="00AA1D8D"/>
    <w:rsid w:val="00B47730"/>
    <w:rsid w:val="00B94B2B"/>
    <w:rsid w:val="00C0374C"/>
    <w:rsid w:val="00C522BF"/>
    <w:rsid w:val="00CB0664"/>
    <w:rsid w:val="00D53C9E"/>
    <w:rsid w:val="00DC1C06"/>
    <w:rsid w:val="00E9136B"/>
    <w:rsid w:val="00FB14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865C41A-7F02-43BB-967E-DAFB8B42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497</Words>
  <Characters>2957</Characters>
  <Application>Microsoft Office Word</Application>
  <DocSecurity>0</DocSecurity>
  <Lines>67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rbeachy@sturgis.bank</dc:creator>
  <cp:keywords/>
  <dc:description/>
  <cp:lastModifiedBy>Rob Beachy</cp:lastModifiedBy>
  <cp:revision>11</cp:revision>
  <dcterms:created xsi:type="dcterms:W3CDTF">2013-12-23T23:15:00Z</dcterms:created>
  <dcterms:modified xsi:type="dcterms:W3CDTF">2026-06-22T18:52:00Z</dcterms:modified>
  <cp:category/>
</cp:coreProperties>
</file>