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78E10" w14:textId="77777777" w:rsidR="00BE2EA3" w:rsidRPr="003C0871" w:rsidRDefault="00BE2EA3" w:rsidP="00BE2EA3">
      <w:pPr>
        <w:spacing w:after="0" w:line="240" w:lineRule="auto"/>
        <w:rPr>
          <w:rFonts w:cs="Calibri"/>
          <w:color w:val="000000" w:themeColor="text1"/>
        </w:rPr>
      </w:pPr>
    </w:p>
    <w:tbl>
      <w:tblPr>
        <w:tblW w:w="9234" w:type="dxa"/>
        <w:tblLook w:val="04A0" w:firstRow="1" w:lastRow="0" w:firstColumn="1" w:lastColumn="0" w:noHBand="0" w:noVBand="1"/>
      </w:tblPr>
      <w:tblGrid>
        <w:gridCol w:w="2293"/>
        <w:gridCol w:w="6941"/>
      </w:tblGrid>
      <w:tr w:rsidR="00BE2EA3" w:rsidRPr="003C0871" w14:paraId="67ECBD48" w14:textId="77777777" w:rsidTr="004C59C4">
        <w:trPr>
          <w:trHeight w:val="300"/>
        </w:trPr>
        <w:tc>
          <w:tcPr>
            <w:tcW w:w="2250" w:type="dxa"/>
            <w:vMerge w:val="restart"/>
            <w:tcBorders>
              <w:top w:val="nil"/>
              <w:left w:val="nil"/>
              <w:bottom w:val="nil"/>
              <w:right w:val="nil"/>
            </w:tcBorders>
            <w:vAlign w:val="center"/>
            <w:hideMark/>
          </w:tcPr>
          <w:p w14:paraId="7381F305" w14:textId="32C1C199" w:rsidR="00BE2EA3" w:rsidRPr="003C0871" w:rsidRDefault="0052139F" w:rsidP="004C59C4">
            <w:pPr>
              <w:spacing w:after="0" w:line="240" w:lineRule="auto"/>
              <w:rPr>
                <w:rFonts w:cs="Calibri"/>
                <w:color w:val="000000" w:themeColor="text1"/>
              </w:rPr>
            </w:pPr>
            <w:r>
              <w:rPr>
                <w:rFonts w:cs="Calibri"/>
                <w:noProof/>
                <w:color w:val="000000" w:themeColor="text1"/>
              </w:rPr>
              <w:drawing>
                <wp:inline distT="0" distB="0" distL="0" distR="0" wp14:anchorId="4E2CDA3B" wp14:editId="0464842D">
                  <wp:extent cx="1319313" cy="876300"/>
                  <wp:effectExtent l="0" t="0" r="0" b="0"/>
                  <wp:docPr id="1507907271" name="Picture 1" descr="Skyscrapers in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07271" name="Picture 1507907271" descr="Skyscrapers in city"/>
                          <pic:cNvPicPr/>
                        </pic:nvPicPr>
                        <pic:blipFill>
                          <a:blip r:embed="rId6"/>
                          <a:stretch>
                            <a:fillRect/>
                          </a:stretch>
                        </pic:blipFill>
                        <pic:spPr>
                          <a:xfrm>
                            <a:off x="0" y="0"/>
                            <a:ext cx="1328193" cy="882198"/>
                          </a:xfrm>
                          <a:prstGeom prst="rect">
                            <a:avLst/>
                          </a:prstGeom>
                        </pic:spPr>
                      </pic:pic>
                    </a:graphicData>
                  </a:graphic>
                </wp:inline>
              </w:drawing>
            </w:r>
          </w:p>
        </w:tc>
        <w:tc>
          <w:tcPr>
            <w:tcW w:w="6984" w:type="dxa"/>
            <w:tcBorders>
              <w:top w:val="nil"/>
              <w:left w:val="nil"/>
              <w:bottom w:val="nil"/>
              <w:right w:val="nil"/>
            </w:tcBorders>
            <w:vAlign w:val="center"/>
            <w:hideMark/>
          </w:tcPr>
          <w:p w14:paraId="5B5506A5" w14:textId="386B6A9F" w:rsidR="00BE2EA3" w:rsidRPr="003C0871" w:rsidRDefault="00BE2EA3" w:rsidP="004C59C4">
            <w:pPr>
              <w:spacing w:after="0" w:line="240" w:lineRule="auto"/>
              <w:rPr>
                <w:rFonts w:cs="Calibri"/>
                <w:color w:val="000000" w:themeColor="text1"/>
              </w:rPr>
            </w:pPr>
          </w:p>
        </w:tc>
      </w:tr>
      <w:tr w:rsidR="00BE2EA3" w:rsidRPr="003C0871" w14:paraId="27267858" w14:textId="77777777" w:rsidTr="004C59C4">
        <w:trPr>
          <w:trHeight w:val="300"/>
        </w:trPr>
        <w:tc>
          <w:tcPr>
            <w:tcW w:w="2250" w:type="dxa"/>
            <w:vMerge/>
            <w:tcBorders>
              <w:top w:val="nil"/>
              <w:left w:val="nil"/>
              <w:bottom w:val="nil"/>
              <w:right w:val="nil"/>
            </w:tcBorders>
            <w:vAlign w:val="center"/>
            <w:hideMark/>
          </w:tcPr>
          <w:p w14:paraId="00266F18" w14:textId="77777777" w:rsidR="00BE2EA3" w:rsidRPr="003C0871" w:rsidRDefault="00BE2EA3" w:rsidP="004C59C4">
            <w:pPr>
              <w:spacing w:after="0" w:line="240" w:lineRule="auto"/>
              <w:rPr>
                <w:rFonts w:cs="Calibri"/>
                <w:color w:val="000000" w:themeColor="text1"/>
              </w:rPr>
            </w:pPr>
          </w:p>
        </w:tc>
        <w:tc>
          <w:tcPr>
            <w:tcW w:w="6984" w:type="dxa"/>
            <w:tcBorders>
              <w:top w:val="nil"/>
              <w:left w:val="nil"/>
              <w:bottom w:val="nil"/>
              <w:right w:val="nil"/>
            </w:tcBorders>
            <w:vAlign w:val="center"/>
            <w:hideMark/>
          </w:tcPr>
          <w:p w14:paraId="5D808977" w14:textId="77777777" w:rsidR="00BE2EA3" w:rsidRPr="003C0871" w:rsidRDefault="00BE2EA3" w:rsidP="004C59C4">
            <w:pPr>
              <w:spacing w:after="0" w:line="240" w:lineRule="auto"/>
              <w:rPr>
                <w:rFonts w:cs="Calibri"/>
                <w:color w:val="000000" w:themeColor="text1"/>
              </w:rPr>
            </w:pPr>
            <w:r w:rsidRPr="003C0871">
              <w:rPr>
                <w:rFonts w:cs="Calibri"/>
                <w:color w:val="000000" w:themeColor="text1"/>
              </w:rPr>
              <w:t>Artificial Intelligence Policy</w:t>
            </w:r>
          </w:p>
        </w:tc>
      </w:tr>
      <w:tr w:rsidR="00BE2EA3" w:rsidRPr="003C0871" w14:paraId="183ED685" w14:textId="77777777" w:rsidTr="004C59C4">
        <w:trPr>
          <w:trHeight w:val="300"/>
        </w:trPr>
        <w:tc>
          <w:tcPr>
            <w:tcW w:w="2250" w:type="dxa"/>
            <w:vMerge/>
            <w:tcBorders>
              <w:top w:val="nil"/>
              <w:left w:val="nil"/>
              <w:bottom w:val="nil"/>
              <w:right w:val="nil"/>
            </w:tcBorders>
            <w:vAlign w:val="center"/>
            <w:hideMark/>
          </w:tcPr>
          <w:p w14:paraId="09E38F3B" w14:textId="77777777" w:rsidR="00BE2EA3" w:rsidRPr="003C0871" w:rsidRDefault="00BE2EA3" w:rsidP="004C59C4">
            <w:pPr>
              <w:spacing w:after="0" w:line="240" w:lineRule="auto"/>
              <w:rPr>
                <w:rFonts w:cs="Calibri"/>
                <w:color w:val="000000" w:themeColor="text1"/>
              </w:rPr>
            </w:pPr>
          </w:p>
        </w:tc>
        <w:tc>
          <w:tcPr>
            <w:tcW w:w="6984" w:type="dxa"/>
            <w:tcBorders>
              <w:top w:val="nil"/>
              <w:left w:val="nil"/>
              <w:bottom w:val="nil"/>
              <w:right w:val="nil"/>
            </w:tcBorders>
            <w:vAlign w:val="center"/>
            <w:hideMark/>
          </w:tcPr>
          <w:p w14:paraId="79FA73F1" w14:textId="77777777" w:rsidR="00BE2EA3" w:rsidRPr="003C0871" w:rsidRDefault="00BE2EA3" w:rsidP="004C59C4">
            <w:pPr>
              <w:spacing w:after="0" w:line="240" w:lineRule="auto"/>
              <w:rPr>
                <w:rFonts w:cs="Calibri"/>
                <w:color w:val="000000" w:themeColor="text1"/>
              </w:rPr>
            </w:pPr>
            <w:r w:rsidRPr="003C0871">
              <w:rPr>
                <w:rFonts w:cs="Calibri"/>
                <w:color w:val="000000" w:themeColor="text1"/>
              </w:rPr>
              <w:t>Owner: CIO</w:t>
            </w:r>
          </w:p>
        </w:tc>
      </w:tr>
      <w:tr w:rsidR="00BE2EA3" w:rsidRPr="003C0871" w14:paraId="04D45EBD" w14:textId="77777777" w:rsidTr="004C59C4">
        <w:trPr>
          <w:trHeight w:val="300"/>
        </w:trPr>
        <w:tc>
          <w:tcPr>
            <w:tcW w:w="2250" w:type="dxa"/>
            <w:vMerge/>
            <w:tcBorders>
              <w:top w:val="nil"/>
              <w:left w:val="nil"/>
              <w:bottom w:val="nil"/>
              <w:right w:val="nil"/>
            </w:tcBorders>
            <w:vAlign w:val="center"/>
            <w:hideMark/>
          </w:tcPr>
          <w:p w14:paraId="3DB86A6F" w14:textId="77777777" w:rsidR="00BE2EA3" w:rsidRPr="003C0871" w:rsidRDefault="00BE2EA3" w:rsidP="004C59C4">
            <w:pPr>
              <w:spacing w:after="0" w:line="240" w:lineRule="auto"/>
              <w:rPr>
                <w:rFonts w:cs="Calibri"/>
                <w:color w:val="000000" w:themeColor="text1"/>
              </w:rPr>
            </w:pPr>
          </w:p>
        </w:tc>
        <w:tc>
          <w:tcPr>
            <w:tcW w:w="6984" w:type="dxa"/>
            <w:tcBorders>
              <w:top w:val="nil"/>
              <w:left w:val="nil"/>
              <w:bottom w:val="nil"/>
              <w:right w:val="nil"/>
            </w:tcBorders>
            <w:vAlign w:val="center"/>
            <w:hideMark/>
          </w:tcPr>
          <w:p w14:paraId="66D7EE0D" w14:textId="0BE61D06" w:rsidR="00BE2EA3" w:rsidRPr="003C0871" w:rsidRDefault="00BE2EA3" w:rsidP="004C59C4">
            <w:pPr>
              <w:spacing w:after="0" w:line="240" w:lineRule="auto"/>
              <w:rPr>
                <w:rFonts w:cs="Calibri"/>
                <w:color w:val="000000" w:themeColor="text1"/>
              </w:rPr>
            </w:pPr>
            <w:r w:rsidRPr="003C0871">
              <w:rPr>
                <w:rFonts w:cs="Calibri"/>
                <w:color w:val="000000" w:themeColor="text1"/>
              </w:rPr>
              <w:t xml:space="preserve">Date created: </w:t>
            </w:r>
          </w:p>
        </w:tc>
      </w:tr>
      <w:tr w:rsidR="00BE2EA3" w:rsidRPr="003C0871" w14:paraId="3718D4A7" w14:textId="77777777" w:rsidTr="004C59C4">
        <w:trPr>
          <w:trHeight w:val="300"/>
        </w:trPr>
        <w:tc>
          <w:tcPr>
            <w:tcW w:w="2250" w:type="dxa"/>
            <w:vMerge/>
            <w:tcBorders>
              <w:top w:val="nil"/>
              <w:left w:val="nil"/>
              <w:bottom w:val="nil"/>
              <w:right w:val="nil"/>
            </w:tcBorders>
            <w:vAlign w:val="center"/>
            <w:hideMark/>
          </w:tcPr>
          <w:p w14:paraId="62432F5B" w14:textId="77777777" w:rsidR="00BE2EA3" w:rsidRPr="003C0871" w:rsidRDefault="00BE2EA3" w:rsidP="004C59C4">
            <w:pPr>
              <w:spacing w:after="0" w:line="240" w:lineRule="auto"/>
              <w:rPr>
                <w:rFonts w:cs="Calibri"/>
                <w:color w:val="000000" w:themeColor="text1"/>
              </w:rPr>
            </w:pPr>
          </w:p>
        </w:tc>
        <w:tc>
          <w:tcPr>
            <w:tcW w:w="6984" w:type="dxa"/>
            <w:tcBorders>
              <w:top w:val="nil"/>
              <w:left w:val="nil"/>
              <w:bottom w:val="nil"/>
              <w:right w:val="nil"/>
            </w:tcBorders>
            <w:vAlign w:val="center"/>
            <w:hideMark/>
          </w:tcPr>
          <w:p w14:paraId="467CA6D3" w14:textId="15F418B1" w:rsidR="00BE2EA3" w:rsidRPr="003C0871" w:rsidRDefault="00BE2EA3" w:rsidP="004C59C4">
            <w:pPr>
              <w:spacing w:after="0" w:line="240" w:lineRule="auto"/>
              <w:rPr>
                <w:rFonts w:cs="Calibri"/>
                <w:color w:val="000000" w:themeColor="text1"/>
              </w:rPr>
            </w:pPr>
            <w:r w:rsidRPr="003C0871">
              <w:rPr>
                <w:rFonts w:cs="Calibri"/>
                <w:color w:val="000000" w:themeColor="text1"/>
              </w:rPr>
              <w:t xml:space="preserve">Last </w:t>
            </w:r>
            <w:r w:rsidR="006053AA">
              <w:rPr>
                <w:rFonts w:cs="Calibri"/>
                <w:color w:val="000000" w:themeColor="text1"/>
              </w:rPr>
              <w:t>Approved</w:t>
            </w:r>
            <w:r w:rsidRPr="003C0871">
              <w:rPr>
                <w:rFonts w:cs="Calibri"/>
                <w:color w:val="000000" w:themeColor="text1"/>
              </w:rPr>
              <w:t xml:space="preserve"> Date:</w:t>
            </w:r>
          </w:p>
        </w:tc>
      </w:tr>
      <w:tr w:rsidR="00BE2EA3" w:rsidRPr="003C0871" w14:paraId="35ECC263" w14:textId="77777777" w:rsidTr="006053AA">
        <w:trPr>
          <w:trHeight w:val="300"/>
        </w:trPr>
        <w:tc>
          <w:tcPr>
            <w:tcW w:w="2250" w:type="dxa"/>
            <w:vMerge/>
            <w:tcBorders>
              <w:top w:val="nil"/>
              <w:left w:val="nil"/>
              <w:bottom w:val="nil"/>
              <w:right w:val="nil"/>
            </w:tcBorders>
            <w:vAlign w:val="center"/>
            <w:hideMark/>
          </w:tcPr>
          <w:p w14:paraId="4EA2E901" w14:textId="77777777" w:rsidR="00BE2EA3" w:rsidRPr="003C0871" w:rsidRDefault="00BE2EA3" w:rsidP="004C59C4">
            <w:pPr>
              <w:spacing w:after="0" w:line="240" w:lineRule="auto"/>
              <w:rPr>
                <w:rFonts w:cs="Calibri"/>
                <w:color w:val="000000" w:themeColor="text1"/>
              </w:rPr>
            </w:pPr>
          </w:p>
        </w:tc>
        <w:tc>
          <w:tcPr>
            <w:tcW w:w="6984" w:type="dxa"/>
            <w:tcBorders>
              <w:top w:val="nil"/>
              <w:left w:val="nil"/>
              <w:bottom w:val="nil"/>
              <w:right w:val="nil"/>
            </w:tcBorders>
            <w:vAlign w:val="center"/>
          </w:tcPr>
          <w:p w14:paraId="5AD19923" w14:textId="567446C1" w:rsidR="00BE2EA3" w:rsidRPr="003C0871" w:rsidRDefault="00BE2EA3" w:rsidP="004C59C4">
            <w:pPr>
              <w:spacing w:after="0" w:line="240" w:lineRule="auto"/>
              <w:rPr>
                <w:rFonts w:cs="Calibri"/>
                <w:color w:val="000000" w:themeColor="text1"/>
              </w:rPr>
            </w:pPr>
          </w:p>
        </w:tc>
      </w:tr>
    </w:tbl>
    <w:p w14:paraId="56EA0E4E" w14:textId="77777777" w:rsidR="00BE2EA3" w:rsidRPr="003C0871" w:rsidRDefault="00BE2EA3" w:rsidP="00BE2EA3">
      <w:pPr>
        <w:pStyle w:val="Heading1"/>
        <w:spacing w:before="0" w:line="240" w:lineRule="auto"/>
        <w:rPr>
          <w:rFonts w:ascii="Calibri" w:hAnsi="Calibri" w:cs="Calibri"/>
          <w:b w:val="0"/>
          <w:bCs w:val="0"/>
          <w:color w:val="000000" w:themeColor="text1"/>
          <w:sz w:val="22"/>
          <w:szCs w:val="22"/>
        </w:rPr>
      </w:pPr>
    </w:p>
    <w:p w14:paraId="6C33A4F8" w14:textId="77777777" w:rsidR="00BE2EA3" w:rsidRPr="003C0871" w:rsidRDefault="00BE2EA3" w:rsidP="00920A87">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Purpose</w:t>
      </w:r>
    </w:p>
    <w:p w14:paraId="144CA7BF" w14:textId="3E064DC7" w:rsidR="00BE2EA3" w:rsidRDefault="00BE2EA3" w:rsidP="00920A87">
      <w:pPr>
        <w:spacing w:after="0" w:line="240" w:lineRule="auto"/>
        <w:rPr>
          <w:rFonts w:cs="Calibri"/>
          <w:color w:val="000000" w:themeColor="text1"/>
        </w:rPr>
      </w:pPr>
      <w:r w:rsidRPr="003C0871">
        <w:rPr>
          <w:rFonts w:eastAsia="Arial" w:cs="Calibri"/>
          <w:color w:val="000000" w:themeColor="text1"/>
        </w:rPr>
        <w:t xml:space="preserve">This policy establishes requirements for the safe, ethical, and secure use of Artificial Intelligence (AI) tools and AI Systems at </w:t>
      </w:r>
      <w:r w:rsidR="0052139F">
        <w:rPr>
          <w:rFonts w:eastAsia="Arial" w:cs="Calibri"/>
          <w:color w:val="000000" w:themeColor="text1"/>
        </w:rPr>
        <w:t>Bank</w:t>
      </w:r>
      <w:r w:rsidRPr="003C0871">
        <w:rPr>
          <w:rFonts w:eastAsia="Arial" w:cs="Calibri"/>
          <w:color w:val="000000" w:themeColor="text1"/>
        </w:rPr>
        <w:t>. The Bank recognizes that AI can improve efficiency and support staff analysis, but AI also introduces risks including data leakage, inaccurate outputs, biased or inappropriate content, and loss of human accountability. This policy sets clear expectations so that employees know what is allowed, what is prohibited, and how AI outputs must be reviewed before being used for any business purpose.</w:t>
      </w:r>
    </w:p>
    <w:p w14:paraId="5BCC025B" w14:textId="77777777" w:rsidR="00BE2EA3" w:rsidRPr="003C0871" w:rsidRDefault="00BE2EA3" w:rsidP="00920A87">
      <w:pPr>
        <w:spacing w:after="0" w:line="240" w:lineRule="auto"/>
        <w:rPr>
          <w:rFonts w:cs="Calibri"/>
          <w:color w:val="000000" w:themeColor="text1"/>
        </w:rPr>
      </w:pPr>
    </w:p>
    <w:p w14:paraId="5E87A515"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Scope</w:t>
      </w:r>
    </w:p>
    <w:p w14:paraId="14D4F544" w14:textId="1C53161D" w:rsidR="00BE2EA3" w:rsidRDefault="0024303E" w:rsidP="00BE2EA3">
      <w:pPr>
        <w:spacing w:after="0" w:line="240" w:lineRule="auto"/>
        <w:rPr>
          <w:rFonts w:eastAsia="Arial" w:cs="Calibri"/>
          <w:color w:val="000000" w:themeColor="text1"/>
        </w:rPr>
      </w:pPr>
      <w:r w:rsidRPr="003C0871">
        <w:rPr>
          <w:rFonts w:eastAsia="Arial" w:cs="Calibri"/>
          <w:color w:val="000000" w:themeColor="text1"/>
        </w:rPr>
        <w:t xml:space="preserve">This policy applies to all categories of AI Systems as defined in the AIS Program </w:t>
      </w:r>
      <w:r>
        <w:rPr>
          <w:rFonts w:eastAsia="Arial" w:cs="Calibri"/>
          <w:color w:val="000000" w:themeColor="text1"/>
        </w:rPr>
        <w:t>and</w:t>
      </w:r>
      <w:r w:rsidR="00BE2EA3" w:rsidRPr="003C0871">
        <w:rPr>
          <w:rFonts w:eastAsia="Arial" w:cs="Calibri"/>
          <w:color w:val="000000" w:themeColor="text1"/>
        </w:rPr>
        <w:t xml:space="preserve"> applies to all employees, officers, contractors, and third parties acting on behalf of </w:t>
      </w:r>
      <w:r w:rsidR="0052139F">
        <w:rPr>
          <w:rFonts w:eastAsia="Arial" w:cs="Calibri"/>
          <w:color w:val="000000" w:themeColor="text1"/>
        </w:rPr>
        <w:t>Bank</w:t>
      </w:r>
      <w:r w:rsidR="00BE2EA3" w:rsidRPr="003C0871">
        <w:rPr>
          <w:rFonts w:eastAsia="Arial" w:cs="Calibri"/>
          <w:color w:val="000000" w:themeColor="text1"/>
        </w:rPr>
        <w:t xml:space="preserve"> who access, use, configure, or interact with AI tools or AI-enabled features. </w:t>
      </w:r>
    </w:p>
    <w:p w14:paraId="39B06C19" w14:textId="77777777" w:rsidR="00BE2EA3" w:rsidRDefault="00BE2EA3" w:rsidP="00BE2EA3">
      <w:pPr>
        <w:pStyle w:val="Heading1"/>
        <w:spacing w:before="0"/>
        <w:rPr>
          <w:rFonts w:ascii="Calibri" w:hAnsi="Calibri" w:cs="Calibri"/>
          <w:color w:val="000000" w:themeColor="text1"/>
          <w:sz w:val="22"/>
          <w:szCs w:val="22"/>
        </w:rPr>
      </w:pPr>
    </w:p>
    <w:p w14:paraId="14C39D03"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AI Risk Classification</w:t>
      </w:r>
    </w:p>
    <w:p w14:paraId="2F6B47D8" w14:textId="0620709A"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 xml:space="preserve">Not all AI use carries the same risk. </w:t>
      </w:r>
      <w:r w:rsidR="00BF6741">
        <w:rPr>
          <w:rFonts w:eastAsia="Arial" w:cs="Calibri"/>
          <w:color w:val="000000" w:themeColor="text1"/>
        </w:rPr>
        <w:t>T</w:t>
      </w:r>
      <w:r w:rsidR="00BF6741" w:rsidRPr="003C0871">
        <w:rPr>
          <w:rFonts w:eastAsia="Arial" w:cs="Calibri"/>
          <w:color w:val="000000" w:themeColor="text1"/>
        </w:rPr>
        <w:t>o ensure controls are proportional to the potential for harm</w:t>
      </w:r>
      <w:r w:rsidR="00BF6741">
        <w:rPr>
          <w:rFonts w:eastAsia="Arial" w:cs="Calibri"/>
          <w:color w:val="000000" w:themeColor="text1"/>
        </w:rPr>
        <w:t>,</w:t>
      </w:r>
      <w:r w:rsidR="00BF6741" w:rsidRPr="003C0871">
        <w:rPr>
          <w:rFonts w:eastAsia="Arial" w:cs="Calibri"/>
          <w:color w:val="000000" w:themeColor="text1"/>
        </w:rPr>
        <w:t xml:space="preserve"> </w:t>
      </w:r>
      <w:r w:rsidR="00BF6741">
        <w:rPr>
          <w:rFonts w:eastAsia="Arial" w:cs="Calibri"/>
          <w:color w:val="000000" w:themeColor="text1"/>
        </w:rPr>
        <w:t>t</w:t>
      </w:r>
      <w:r w:rsidRPr="003C0871">
        <w:rPr>
          <w:rFonts w:eastAsia="Arial" w:cs="Calibri"/>
          <w:color w:val="000000" w:themeColor="text1"/>
        </w:rPr>
        <w:t xml:space="preserve">he Bank </w:t>
      </w:r>
      <w:r w:rsidR="00BF6741">
        <w:rPr>
          <w:rFonts w:eastAsia="Arial" w:cs="Calibri"/>
          <w:color w:val="000000" w:themeColor="text1"/>
        </w:rPr>
        <w:t xml:space="preserve">shall </w:t>
      </w:r>
      <w:r w:rsidRPr="003C0871">
        <w:rPr>
          <w:rFonts w:eastAsia="Arial" w:cs="Calibri"/>
          <w:color w:val="000000" w:themeColor="text1"/>
        </w:rPr>
        <w:t>app</w:t>
      </w:r>
      <w:r w:rsidR="00BF6741">
        <w:rPr>
          <w:rFonts w:eastAsia="Arial" w:cs="Calibri"/>
          <w:color w:val="000000" w:themeColor="text1"/>
        </w:rPr>
        <w:t>ly a</w:t>
      </w:r>
      <w:r w:rsidRPr="003C0871">
        <w:rPr>
          <w:rFonts w:eastAsia="Arial" w:cs="Calibri"/>
          <w:color w:val="000000" w:themeColor="text1"/>
        </w:rPr>
        <w:t xml:space="preserve"> risk</w:t>
      </w:r>
      <w:r w:rsidR="00BF6741">
        <w:rPr>
          <w:rFonts w:eastAsia="Arial" w:cs="Calibri"/>
          <w:color w:val="000000" w:themeColor="text1"/>
        </w:rPr>
        <w:t>-based</w:t>
      </w:r>
      <w:r w:rsidRPr="003C0871">
        <w:rPr>
          <w:rFonts w:eastAsia="Arial" w:cs="Calibri"/>
          <w:color w:val="000000" w:themeColor="text1"/>
        </w:rPr>
        <w:t xml:space="preserve"> tier framework </w:t>
      </w:r>
      <w:r w:rsidR="00BF6741">
        <w:rPr>
          <w:rFonts w:eastAsia="Arial" w:cs="Calibri"/>
          <w:color w:val="000000" w:themeColor="text1"/>
        </w:rPr>
        <w:t xml:space="preserve">that will be </w:t>
      </w:r>
      <w:r w:rsidRPr="003C0871">
        <w:rPr>
          <w:rFonts w:eastAsia="Arial" w:cs="Calibri"/>
          <w:color w:val="000000" w:themeColor="text1"/>
        </w:rPr>
        <w:t>defined in the AIS Program. Employees must understand these tiers so they can recognize when a proposed use may exceed the Bank’s currently approved boundaries.</w:t>
      </w:r>
    </w:p>
    <w:p w14:paraId="1CED9671" w14:textId="77777777" w:rsidR="00BE2EA3" w:rsidRPr="003C0871" w:rsidRDefault="00BE2EA3" w:rsidP="00BE2EA3">
      <w:pPr>
        <w:spacing w:after="0" w:line="240" w:lineRule="auto"/>
        <w:rPr>
          <w:rFonts w:cs="Calibri"/>
          <w:color w:val="000000" w:themeColor="text1"/>
        </w:rPr>
      </w:pPr>
    </w:p>
    <w:p w14:paraId="3E7D8C57" w14:textId="13C72F7E"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Human</w:t>
      </w:r>
      <w:r>
        <w:rPr>
          <w:rFonts w:ascii="Calibri" w:hAnsi="Calibri" w:cs="Calibri"/>
          <w:color w:val="000000" w:themeColor="text1"/>
          <w:sz w:val="22"/>
          <w:szCs w:val="22"/>
        </w:rPr>
        <w:t>-In-The-</w:t>
      </w:r>
      <w:r w:rsidR="00BF6741">
        <w:rPr>
          <w:rFonts w:ascii="Calibri" w:hAnsi="Calibri" w:cs="Calibri"/>
          <w:color w:val="000000" w:themeColor="text1"/>
          <w:sz w:val="22"/>
          <w:szCs w:val="22"/>
        </w:rPr>
        <w:t>Loop</w:t>
      </w:r>
      <w:r w:rsidRPr="003C0871">
        <w:rPr>
          <w:rFonts w:ascii="Calibri" w:eastAsia="Arial" w:hAnsi="Calibri" w:cs="Calibri"/>
          <w:color w:val="000000" w:themeColor="text1"/>
          <w:sz w:val="22"/>
          <w:szCs w:val="22"/>
        </w:rPr>
        <w:t xml:space="preserve"> Standard</w:t>
      </w:r>
    </w:p>
    <w:p w14:paraId="72264029" w14:textId="27E3B44E" w:rsidR="00BE2EA3" w:rsidRDefault="00BF6741" w:rsidP="00BF6741">
      <w:pPr>
        <w:spacing w:after="0" w:line="240" w:lineRule="auto"/>
        <w:rPr>
          <w:rFonts w:eastAsia="Arial" w:cs="Calibri"/>
          <w:color w:val="000000" w:themeColor="text1"/>
        </w:rPr>
      </w:pPr>
      <w:r>
        <w:rPr>
          <w:rFonts w:eastAsia="Arial" w:cs="Calibri"/>
          <w:color w:val="000000" w:themeColor="text1"/>
        </w:rPr>
        <w:t xml:space="preserve">All individuals within the scope of this policy shall adhere to a human-in-the-loop principle.  This section requires the understanding that all use of AI requires a human </w:t>
      </w:r>
      <w:proofErr w:type="gramStart"/>
      <w:r>
        <w:rPr>
          <w:rFonts w:eastAsia="Arial" w:cs="Calibri"/>
          <w:color w:val="000000" w:themeColor="text1"/>
        </w:rPr>
        <w:t>review</w:t>
      </w:r>
      <w:proofErr w:type="gramEnd"/>
      <w:r>
        <w:rPr>
          <w:rFonts w:eastAsia="Arial" w:cs="Calibri"/>
          <w:color w:val="000000" w:themeColor="text1"/>
        </w:rPr>
        <w:t xml:space="preserve"> and AI shall not make any business or customer decision autonomously.  All output created with AI infers ownership to the individual presenting </w:t>
      </w:r>
      <w:proofErr w:type="spellStart"/>
      <w:proofErr w:type="gramStart"/>
      <w:r>
        <w:rPr>
          <w:rFonts w:eastAsia="Arial" w:cs="Calibri"/>
          <w:color w:val="000000" w:themeColor="text1"/>
        </w:rPr>
        <w:t>it’s</w:t>
      </w:r>
      <w:proofErr w:type="spellEnd"/>
      <w:r>
        <w:rPr>
          <w:rFonts w:eastAsia="Arial" w:cs="Calibri"/>
          <w:color w:val="000000" w:themeColor="text1"/>
        </w:rPr>
        <w:t xml:space="preserve"> output</w:t>
      </w:r>
      <w:proofErr w:type="gramEnd"/>
      <w:r>
        <w:rPr>
          <w:rFonts w:eastAsia="Arial" w:cs="Calibri"/>
          <w:color w:val="000000" w:themeColor="text1"/>
        </w:rPr>
        <w:t>.</w:t>
      </w:r>
    </w:p>
    <w:p w14:paraId="4F545AF8" w14:textId="77777777" w:rsidR="00BF6741" w:rsidRPr="003C0871" w:rsidRDefault="00BF6741" w:rsidP="00BF6741">
      <w:pPr>
        <w:spacing w:after="0" w:line="240" w:lineRule="auto"/>
        <w:rPr>
          <w:rFonts w:cs="Calibri"/>
          <w:color w:val="000000" w:themeColor="text1"/>
        </w:rPr>
      </w:pPr>
    </w:p>
    <w:p w14:paraId="40786C97"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AI outputs are treated as drafts. No AI output may be treated as a final Bank decision, presented to customers, or relied upon for regulatory purposes without human review and approval.</w:t>
      </w:r>
    </w:p>
    <w:p w14:paraId="66EAB4E5" w14:textId="77777777" w:rsidR="00BE2EA3" w:rsidRDefault="00BE2EA3" w:rsidP="00BE2EA3">
      <w:pPr>
        <w:pStyle w:val="Heading1"/>
        <w:spacing w:before="0"/>
        <w:rPr>
          <w:rFonts w:ascii="Calibri" w:hAnsi="Calibri" w:cs="Calibri"/>
          <w:color w:val="000000" w:themeColor="text1"/>
          <w:sz w:val="22"/>
          <w:szCs w:val="22"/>
        </w:rPr>
      </w:pPr>
    </w:p>
    <w:p w14:paraId="55A0E329" w14:textId="77777777" w:rsidR="00BE2EA3" w:rsidRPr="003C0871" w:rsidRDefault="00BE2EA3" w:rsidP="00BE2EA3">
      <w:pPr>
        <w:pStyle w:val="Heading2"/>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AI Is Not Approved For</w:t>
      </w:r>
    </w:p>
    <w:p w14:paraId="18378A0B" w14:textId="7A7AE98B" w:rsidR="00BE2EA3" w:rsidRPr="003C0871" w:rsidRDefault="00CE1FB7" w:rsidP="00BE2EA3">
      <w:pPr>
        <w:pStyle w:val="ListParagraph"/>
        <w:numPr>
          <w:ilvl w:val="0"/>
          <w:numId w:val="12"/>
        </w:numPr>
        <w:spacing w:after="0" w:line="240" w:lineRule="auto"/>
        <w:contextualSpacing w:val="0"/>
        <w:rPr>
          <w:rFonts w:cs="Calibri"/>
          <w:color w:val="000000" w:themeColor="text1"/>
        </w:rPr>
      </w:pPr>
      <w:r>
        <w:rPr>
          <w:rFonts w:eastAsia="Arial" w:cs="Calibri"/>
          <w:color w:val="000000" w:themeColor="text1"/>
        </w:rPr>
        <w:t>Automating a</w:t>
      </w:r>
      <w:r w:rsidR="00BE2EA3" w:rsidRPr="003C0871">
        <w:rPr>
          <w:rFonts w:eastAsia="Arial" w:cs="Calibri"/>
          <w:color w:val="000000" w:themeColor="text1"/>
        </w:rPr>
        <w:t>pproving or denying credit, accounts, or other consumer outcomes.</w:t>
      </w:r>
    </w:p>
    <w:p w14:paraId="25B77BEC" w14:textId="58EFF7AC"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Setting pricing, rates, or fees</w:t>
      </w:r>
      <w:r w:rsidR="00CE1FB7">
        <w:rPr>
          <w:rFonts w:eastAsia="Arial" w:cs="Calibri"/>
          <w:color w:val="000000" w:themeColor="text1"/>
        </w:rPr>
        <w:t xml:space="preserve"> without human review</w:t>
      </w:r>
      <w:r w:rsidRPr="003C0871">
        <w:rPr>
          <w:rFonts w:eastAsia="Arial" w:cs="Calibri"/>
          <w:color w:val="000000" w:themeColor="text1"/>
        </w:rPr>
        <w:t>.</w:t>
      </w:r>
    </w:p>
    <w:p w14:paraId="0B19E1DB"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Executing transactions or changes to customer accounts.</w:t>
      </w:r>
    </w:p>
    <w:p w14:paraId="7AFA4F38"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Generating final customer communications without required human review and approvals.</w:t>
      </w:r>
    </w:p>
    <w:p w14:paraId="3FF99BA4" w14:textId="77777777" w:rsidR="00BE2EA3" w:rsidRDefault="00BE2EA3" w:rsidP="00BE2EA3">
      <w:pPr>
        <w:pStyle w:val="Heading1"/>
        <w:spacing w:before="0"/>
        <w:rPr>
          <w:rFonts w:ascii="Calibri" w:hAnsi="Calibri" w:cs="Calibri"/>
          <w:color w:val="000000" w:themeColor="text1"/>
          <w:sz w:val="22"/>
          <w:szCs w:val="22"/>
        </w:rPr>
      </w:pPr>
    </w:p>
    <w:p w14:paraId="65D4BD2A"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Future AI Categories: Models and Agentic AI</w:t>
      </w:r>
    </w:p>
    <w:p w14:paraId="2D69E540" w14:textId="0970D16B"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While the Bank currently uses generative AI in an assistive capacity, this policy establishes requirements that will apply if the Bank expands into additional AI categories. No expansion beyond Tier 1 assistive use may occur without AIWG review and approval, including completion of the enhanced controls described below.</w:t>
      </w:r>
    </w:p>
    <w:p w14:paraId="528C9ECB" w14:textId="77777777" w:rsidR="00BE2EA3" w:rsidRDefault="00BE2EA3" w:rsidP="00BE2EA3">
      <w:pPr>
        <w:pStyle w:val="Heading2"/>
        <w:spacing w:before="0"/>
        <w:rPr>
          <w:rFonts w:ascii="Calibri" w:hAnsi="Calibri" w:cs="Calibri"/>
          <w:color w:val="000000" w:themeColor="text1"/>
          <w:sz w:val="22"/>
          <w:szCs w:val="22"/>
        </w:rPr>
      </w:pPr>
    </w:p>
    <w:p w14:paraId="77B4A3B7" w14:textId="77777777" w:rsidR="00BE2EA3" w:rsidRPr="003C0871" w:rsidRDefault="00BE2EA3" w:rsidP="00BE2EA3">
      <w:pPr>
        <w:pStyle w:val="Heading2"/>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Predictive and Analytical Models</w:t>
      </w:r>
    </w:p>
    <w:p w14:paraId="67F998BE" w14:textId="51AC5762"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If the Bank considers deploying predictive models, machine learning models, or AI-driven decision tools, the following requirements must be met before implementation</w:t>
      </w:r>
      <w:r w:rsidR="00136A4E">
        <w:rPr>
          <w:rFonts w:eastAsia="Arial" w:cs="Calibri"/>
          <w:color w:val="000000" w:themeColor="text1"/>
        </w:rPr>
        <w:t xml:space="preserve"> and must be included in the Bank’s AI Systems program</w:t>
      </w:r>
      <w:r w:rsidRPr="003C0871">
        <w:rPr>
          <w:rFonts w:eastAsia="Arial" w:cs="Calibri"/>
          <w:color w:val="000000" w:themeColor="text1"/>
        </w:rPr>
        <w:t>:</w:t>
      </w:r>
    </w:p>
    <w:p w14:paraId="6D659533"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An expanded model governance framework must be approved, including validation, monitoring, and documentation standards appropriate to consumer impact.</w:t>
      </w:r>
    </w:p>
    <w:p w14:paraId="6D19C01C"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The use case must be assessed under the AIS Program risk tier framework and assigned Tier 2 or Tier 3 as appropriate.</w:t>
      </w:r>
    </w:p>
    <w:p w14:paraId="0FEBD24F"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Compliance testing must confirm the model does not produce discriminatory or unfair outcomes.</w:t>
      </w:r>
    </w:p>
    <w:p w14:paraId="64EFD5F9"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Ongoing performance monitoring and periodic revalidation must be established.</w:t>
      </w:r>
    </w:p>
    <w:p w14:paraId="5FF090EA"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Documentation must be sufficient to explain model behavior to examiners.</w:t>
      </w:r>
    </w:p>
    <w:p w14:paraId="2AF44A95" w14:textId="77777777" w:rsidR="00BE2EA3" w:rsidRDefault="00BE2EA3" w:rsidP="00BE2EA3">
      <w:pPr>
        <w:pStyle w:val="Heading2"/>
        <w:spacing w:before="0"/>
        <w:rPr>
          <w:rFonts w:ascii="Calibri" w:hAnsi="Calibri" w:cs="Calibri"/>
          <w:color w:val="000000" w:themeColor="text1"/>
          <w:sz w:val="22"/>
          <w:szCs w:val="22"/>
        </w:rPr>
      </w:pPr>
    </w:p>
    <w:p w14:paraId="78DE0D58" w14:textId="77777777" w:rsidR="00BE2EA3" w:rsidRPr="003C0871" w:rsidRDefault="00BE2EA3" w:rsidP="00BE2EA3">
      <w:pPr>
        <w:pStyle w:val="Heading2"/>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Agentic AI</w:t>
      </w:r>
    </w:p>
    <w:p w14:paraId="79B2D34A"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Agentic AI introduces additional risks because it can plan, execute multi-step tasks, use tools, and take actions with reduced human intervention between steps. If the Bank considers deploying agentic AI, the following additional requirements apply:</w:t>
      </w:r>
    </w:p>
    <w:p w14:paraId="5C60B47E"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Scope and boundaries of permitted autonomous actions must be clearly defined and documented.</w:t>
      </w:r>
    </w:p>
    <w:p w14:paraId="04F9344C" w14:textId="05E6AD4B"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 xml:space="preserve">A human override mechanism must </w:t>
      </w:r>
      <w:r w:rsidR="00CE1FB7" w:rsidRPr="003C0871">
        <w:rPr>
          <w:rFonts w:eastAsia="Arial" w:cs="Calibri"/>
          <w:color w:val="000000" w:themeColor="text1"/>
        </w:rPr>
        <w:t>always be available</w:t>
      </w:r>
      <w:r w:rsidRPr="003C0871">
        <w:rPr>
          <w:rFonts w:eastAsia="Arial" w:cs="Calibri"/>
          <w:color w:val="000000" w:themeColor="text1"/>
        </w:rPr>
        <w:t>, allowing an authorized user to halt, reverse, or redirect the agent’s actions.</w:t>
      </w:r>
    </w:p>
    <w:p w14:paraId="6757F803"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Logging and auditability requirements must capture each step, decision, and action taken by the agent.</w:t>
      </w:r>
    </w:p>
    <w:p w14:paraId="34D271F8"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The use case must receive Tier 2 or Tier 3 classification with corresponding controls.</w:t>
      </w:r>
    </w:p>
    <w:p w14:paraId="086AF9A2"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Access controls, authentication, and authorization must address the agent’s ability to interact with systems and data.</w:t>
      </w:r>
    </w:p>
    <w:p w14:paraId="4CC6D935" w14:textId="77777777" w:rsidR="00BE2EA3" w:rsidRDefault="00BE2EA3" w:rsidP="00BE2EA3">
      <w:pPr>
        <w:pStyle w:val="Heading1"/>
        <w:spacing w:before="0"/>
        <w:rPr>
          <w:rFonts w:ascii="Calibri" w:hAnsi="Calibri" w:cs="Calibri"/>
          <w:color w:val="000000" w:themeColor="text1"/>
          <w:sz w:val="22"/>
          <w:szCs w:val="22"/>
        </w:rPr>
      </w:pPr>
    </w:p>
    <w:p w14:paraId="0387A711"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Approved Tools and Access Control</w:t>
      </w:r>
    </w:p>
    <w:p w14:paraId="0620DE5E"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Employees may only use AI tools approved by the Bank and listed in the AI Tool &amp; System Register. Access is granted based on business need, completion of required training, and acknowledgment of this policy. Role-based access (Owner/Admin/User) is used where supported by the platform, and least privilege principles apply.</w:t>
      </w:r>
    </w:p>
    <w:p w14:paraId="5E1C6CEE" w14:textId="77777777" w:rsidR="00AA5B60" w:rsidRDefault="00AA5B60" w:rsidP="00BE2EA3">
      <w:pPr>
        <w:pStyle w:val="Heading1"/>
        <w:spacing w:before="0" w:line="240" w:lineRule="auto"/>
        <w:rPr>
          <w:rFonts w:ascii="Calibri" w:eastAsia="Arial" w:hAnsi="Calibri" w:cs="Calibri"/>
          <w:color w:val="000000" w:themeColor="text1"/>
          <w:sz w:val="22"/>
          <w:szCs w:val="22"/>
        </w:rPr>
      </w:pPr>
    </w:p>
    <w:p w14:paraId="4AE5E79C" w14:textId="038BCDA4"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Data Handling Requirements</w:t>
      </w:r>
    </w:p>
    <w:p w14:paraId="7CAAE931" w14:textId="1A18CD19" w:rsidR="00AA5B60" w:rsidRPr="00AA5B60" w:rsidRDefault="00BE2EA3" w:rsidP="00136A4E">
      <w:pPr>
        <w:spacing w:after="0" w:line="240" w:lineRule="auto"/>
        <w:rPr>
          <w:rFonts w:cs="Calibri"/>
          <w:color w:val="000000" w:themeColor="text1"/>
        </w:rPr>
      </w:pPr>
      <w:r w:rsidRPr="003C0871">
        <w:rPr>
          <w:rFonts w:eastAsia="Arial" w:cs="Calibri"/>
          <w:color w:val="000000" w:themeColor="text1"/>
        </w:rPr>
        <w:t xml:space="preserve">Employees must protect confidential and sensitive information when using AI tools. </w:t>
      </w:r>
      <w:r w:rsidR="00136A4E">
        <w:rPr>
          <w:rFonts w:eastAsia="Arial" w:cs="Calibri"/>
          <w:color w:val="000000" w:themeColor="text1"/>
        </w:rPr>
        <w:t>AI data security requirements will adhere to the Bank’s Information Security Program.</w:t>
      </w:r>
    </w:p>
    <w:p w14:paraId="0F692657" w14:textId="77777777" w:rsidR="00AA5B60" w:rsidRPr="00AA5B60" w:rsidRDefault="00AA5B60" w:rsidP="00AA5B60">
      <w:pPr>
        <w:spacing w:after="0" w:line="240" w:lineRule="auto"/>
        <w:ind w:left="360"/>
        <w:rPr>
          <w:rFonts w:cs="Calibri"/>
          <w:color w:val="000000" w:themeColor="text1"/>
        </w:rPr>
      </w:pPr>
    </w:p>
    <w:p w14:paraId="783C8A28"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Output Review and Quality Expectations</w:t>
      </w:r>
    </w:p>
    <w:p w14:paraId="458D14AC"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 xml:space="preserve">AI </w:t>
      </w:r>
      <w:proofErr w:type="gramStart"/>
      <w:r w:rsidRPr="003C0871">
        <w:rPr>
          <w:rFonts w:eastAsia="Arial" w:cs="Calibri"/>
          <w:color w:val="000000" w:themeColor="text1"/>
        </w:rPr>
        <w:t>outputs</w:t>
      </w:r>
      <w:proofErr w:type="gramEnd"/>
      <w:r w:rsidRPr="003C0871">
        <w:rPr>
          <w:rFonts w:eastAsia="Arial" w:cs="Calibri"/>
          <w:color w:val="000000" w:themeColor="text1"/>
        </w:rPr>
        <w:t xml:space="preserve"> must be reviewed before use. Employees are responsible for ensuring outputs are accurate, appropriate, and consistent with Bank policy and regulatory requirements. Specifically, employees must:</w:t>
      </w:r>
    </w:p>
    <w:p w14:paraId="505ED2F0"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Verify facts, numbers, calculations, and citations.</w:t>
      </w:r>
    </w:p>
    <w:p w14:paraId="60CF33D3"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Confirm that language is professional, non-discriminatory, and free of bias.</w:t>
      </w:r>
    </w:p>
    <w:p w14:paraId="08042269"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Ensure customer-facing materials follow required approval processes.</w:t>
      </w:r>
    </w:p>
    <w:p w14:paraId="21A8DA2E"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Not present AI outputs as a final Bank decision.</w:t>
      </w:r>
    </w:p>
    <w:p w14:paraId="65C6EDDA"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Escalate bias, discriminatory language, or inappropriate content immediately and not use the output.</w:t>
      </w:r>
    </w:p>
    <w:p w14:paraId="1B9FA78E" w14:textId="77777777" w:rsidR="00BE2EA3" w:rsidRDefault="00BE2EA3" w:rsidP="00BE2EA3">
      <w:pPr>
        <w:pStyle w:val="Heading1"/>
        <w:spacing w:before="0"/>
        <w:rPr>
          <w:rFonts w:ascii="Calibri" w:hAnsi="Calibri" w:cs="Calibri"/>
          <w:color w:val="000000" w:themeColor="text1"/>
          <w:sz w:val="22"/>
          <w:szCs w:val="22"/>
        </w:rPr>
      </w:pPr>
    </w:p>
    <w:p w14:paraId="56EBA084" w14:textId="755B4AFD" w:rsidR="00BE2EA3" w:rsidRPr="003C0871" w:rsidRDefault="00136A4E" w:rsidP="00BE2EA3">
      <w:pPr>
        <w:pStyle w:val="Heading1"/>
        <w:spacing w:before="0" w:line="240" w:lineRule="auto"/>
        <w:rPr>
          <w:rFonts w:ascii="Calibri" w:hAnsi="Calibri" w:cs="Calibri"/>
          <w:color w:val="000000" w:themeColor="text1"/>
          <w:sz w:val="22"/>
          <w:szCs w:val="22"/>
        </w:rPr>
      </w:pPr>
      <w:r>
        <w:rPr>
          <w:rFonts w:ascii="Calibri" w:eastAsia="Arial" w:hAnsi="Calibri" w:cs="Calibri"/>
          <w:color w:val="000000" w:themeColor="text1"/>
          <w:sz w:val="22"/>
          <w:szCs w:val="22"/>
        </w:rPr>
        <w:t xml:space="preserve">AI Specific </w:t>
      </w:r>
      <w:r w:rsidR="00BE2EA3" w:rsidRPr="003C0871">
        <w:rPr>
          <w:rFonts w:ascii="Calibri" w:eastAsia="Arial" w:hAnsi="Calibri" w:cs="Calibri"/>
          <w:color w:val="000000" w:themeColor="text1"/>
          <w:sz w:val="22"/>
          <w:szCs w:val="22"/>
        </w:rPr>
        <w:t>Prohibited Uses</w:t>
      </w:r>
    </w:p>
    <w:p w14:paraId="2879CF0E"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AI tools must not be used in ways that could create consumer harm, legal risk, or security exposure. Prohibited uses include, but are not limited to:</w:t>
      </w:r>
    </w:p>
    <w:p w14:paraId="64092386"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Entering restricted data (NPI, PII, account numbers, credentials, or confidential internal information) into unapproved AI tools or tools that use Bank data for model training.</w:t>
      </w:r>
    </w:p>
    <w:p w14:paraId="4DA4CAE8"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Using AI to bypass established controls, policies, or approval workflows.</w:t>
      </w:r>
    </w:p>
    <w:p w14:paraId="46091074"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Using AI to make, approve, or deny consumer decisions.</w:t>
      </w:r>
    </w:p>
    <w:p w14:paraId="64C91ABD"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Using AI outputs without human review.</w:t>
      </w:r>
    </w:p>
    <w:p w14:paraId="1213B462" w14:textId="19F61694"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Deploying AI agents or autonomous workflows without AIWG approval</w:t>
      </w:r>
      <w:r w:rsidR="00CE1FB7">
        <w:rPr>
          <w:rFonts w:eastAsia="Arial" w:cs="Calibri"/>
          <w:color w:val="000000" w:themeColor="text1"/>
        </w:rPr>
        <w:t>.</w:t>
      </w:r>
    </w:p>
    <w:p w14:paraId="18FBC069"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Building, training, or fine-tuning custom AI or machine learning models without AIWG approval.</w:t>
      </w:r>
    </w:p>
    <w:p w14:paraId="0D114773" w14:textId="77777777" w:rsidR="00BE2EA3" w:rsidRPr="003C0871"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Using AI to generate, modify, or transmit customer communications without required reviews and approvals.</w:t>
      </w:r>
    </w:p>
    <w:p w14:paraId="6AEECF4E" w14:textId="77777777" w:rsidR="00BE2EA3" w:rsidRPr="00607B0A" w:rsidRDefault="00BE2EA3" w:rsidP="00BE2EA3">
      <w:pPr>
        <w:pStyle w:val="ListParagraph"/>
        <w:numPr>
          <w:ilvl w:val="0"/>
          <w:numId w:val="12"/>
        </w:numPr>
        <w:spacing w:after="0" w:line="240" w:lineRule="auto"/>
        <w:contextualSpacing w:val="0"/>
        <w:rPr>
          <w:rFonts w:cs="Calibri"/>
          <w:color w:val="000000" w:themeColor="text1"/>
        </w:rPr>
      </w:pPr>
      <w:r w:rsidRPr="003C0871">
        <w:rPr>
          <w:rFonts w:eastAsia="Arial" w:cs="Calibri"/>
          <w:color w:val="000000" w:themeColor="text1"/>
        </w:rPr>
        <w:t>Using unapproved AI tools, including consumer AI products, unauthorized browser extensions, or unapproved AI features within vendor products.</w:t>
      </w:r>
    </w:p>
    <w:p w14:paraId="31245675" w14:textId="603546EE" w:rsidR="00607B0A" w:rsidRPr="003C0871" w:rsidRDefault="00607B0A" w:rsidP="00BE2EA3">
      <w:pPr>
        <w:pStyle w:val="ListParagraph"/>
        <w:numPr>
          <w:ilvl w:val="0"/>
          <w:numId w:val="12"/>
        </w:numPr>
        <w:spacing w:after="0" w:line="240" w:lineRule="auto"/>
        <w:contextualSpacing w:val="0"/>
        <w:rPr>
          <w:rFonts w:cs="Calibri"/>
          <w:color w:val="000000" w:themeColor="text1"/>
        </w:rPr>
      </w:pPr>
      <w:r>
        <w:rPr>
          <w:rFonts w:eastAsia="Arial" w:cs="Calibri"/>
          <w:color w:val="000000" w:themeColor="text1"/>
        </w:rPr>
        <w:t>Using any AI personal account within the Bank’s computing environment to include bank computer’s, laptops, mobile devices, or Bank provided internet access.</w:t>
      </w:r>
    </w:p>
    <w:p w14:paraId="51900242" w14:textId="77777777" w:rsidR="00BE2EA3" w:rsidRDefault="00BE2EA3" w:rsidP="00BE2EA3">
      <w:pPr>
        <w:pStyle w:val="Heading1"/>
        <w:spacing w:before="0"/>
        <w:rPr>
          <w:rFonts w:ascii="Calibri" w:hAnsi="Calibri" w:cs="Calibri"/>
          <w:color w:val="000000" w:themeColor="text1"/>
          <w:sz w:val="22"/>
          <w:szCs w:val="22"/>
        </w:rPr>
      </w:pPr>
    </w:p>
    <w:p w14:paraId="3C277C88"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AI Lifecycle Management</w:t>
      </w:r>
    </w:p>
    <w:p w14:paraId="1787E9E7" w14:textId="62821403" w:rsidR="00BE2EA3" w:rsidRDefault="00BE2EA3" w:rsidP="00AA5B60">
      <w:pPr>
        <w:spacing w:after="0" w:line="240" w:lineRule="auto"/>
        <w:rPr>
          <w:rFonts w:eastAsia="Arial" w:cs="Calibri"/>
          <w:color w:val="000000" w:themeColor="text1"/>
        </w:rPr>
      </w:pPr>
      <w:r w:rsidRPr="00B73C5F">
        <w:rPr>
          <w:rFonts w:eastAsia="Arial" w:cs="Calibri"/>
          <w:color w:val="000000" w:themeColor="text1"/>
        </w:rPr>
        <w:t xml:space="preserve">AI tools and features change frequently. The Bank follows a lifecycle process to prevent unmanaged adoption, ensure staff are trained, and confirm controls remain appropriate. The lifecycle stages </w:t>
      </w:r>
      <w:r w:rsidR="00AA5B60">
        <w:rPr>
          <w:rFonts w:eastAsia="Arial" w:cs="Calibri"/>
          <w:color w:val="000000" w:themeColor="text1"/>
        </w:rPr>
        <w:t>are documented and managed by the Bank’s AIS Program.</w:t>
      </w:r>
    </w:p>
    <w:p w14:paraId="38A8244D" w14:textId="77777777" w:rsidR="00AA5B60" w:rsidRDefault="00AA5B60" w:rsidP="00AA5B60">
      <w:pPr>
        <w:spacing w:after="0" w:line="240" w:lineRule="auto"/>
        <w:rPr>
          <w:rFonts w:cs="Calibri"/>
          <w:color w:val="000000" w:themeColor="text1"/>
        </w:rPr>
      </w:pPr>
    </w:p>
    <w:p w14:paraId="54250FCB"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Model Risk and Fairness</w:t>
      </w:r>
    </w:p>
    <w:p w14:paraId="2CDBC686"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Because the Bank does not currently deploy predictive or decisioning AI models, full model risk management practices are not currently required. However, fairness and quality still matter because AI-generated content can influence how staff communicate, document work, and analyze information.</w:t>
      </w:r>
    </w:p>
    <w:p w14:paraId="065BCC1D" w14:textId="77777777" w:rsidR="00BE2EA3" w:rsidRDefault="00BE2EA3" w:rsidP="00BE2EA3">
      <w:pPr>
        <w:pStyle w:val="Heading2"/>
        <w:spacing w:before="0"/>
        <w:rPr>
          <w:rFonts w:ascii="Calibri" w:hAnsi="Calibri" w:cs="Calibri"/>
          <w:color w:val="000000" w:themeColor="text1"/>
          <w:sz w:val="22"/>
          <w:szCs w:val="22"/>
        </w:rPr>
      </w:pPr>
    </w:p>
    <w:p w14:paraId="1E96A94D" w14:textId="77777777" w:rsidR="00BE2EA3" w:rsidRPr="003C0871" w:rsidRDefault="00BE2EA3" w:rsidP="00BE2EA3">
      <w:pPr>
        <w:pStyle w:val="Heading2"/>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Future Model Governance</w:t>
      </w:r>
    </w:p>
    <w:p w14:paraId="14E9B170" w14:textId="15D011B3"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If the Bank considers predictive models or AI-driven decision</w:t>
      </w:r>
      <w:r w:rsidR="00523389">
        <w:rPr>
          <w:rFonts w:eastAsia="Arial" w:cs="Calibri"/>
          <w:color w:val="000000" w:themeColor="text1"/>
        </w:rPr>
        <w:t>s</w:t>
      </w:r>
      <w:r w:rsidRPr="003C0871">
        <w:rPr>
          <w:rFonts w:eastAsia="Arial" w:cs="Calibri"/>
          <w:color w:val="000000" w:themeColor="text1"/>
        </w:rPr>
        <w:t>, the Bank will not proceed until an expanded model governance framework is approved, including validation, monitoring, documentation standards, and compliance testing appropriate to consumer impact. This requirement applies equally to internally developed models and to third-party models.</w:t>
      </w:r>
    </w:p>
    <w:p w14:paraId="6448CD95" w14:textId="77777777" w:rsidR="00BE2EA3" w:rsidRDefault="00BE2EA3" w:rsidP="00BE2EA3">
      <w:pPr>
        <w:pStyle w:val="Heading1"/>
        <w:spacing w:before="0"/>
        <w:rPr>
          <w:rFonts w:ascii="Calibri" w:hAnsi="Calibri" w:cs="Calibri"/>
          <w:color w:val="000000" w:themeColor="text1"/>
          <w:sz w:val="22"/>
          <w:szCs w:val="22"/>
        </w:rPr>
      </w:pPr>
    </w:p>
    <w:p w14:paraId="5803BA4C"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Governance and Accountability</w:t>
      </w:r>
    </w:p>
    <w:p w14:paraId="220EE867" w14:textId="61EEB1DD"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The AI Working Group (AIWG) is the Bank’s designated governance body for AI Systems. It oversees implementation and maintenance of this policy and the AIS Program, reviews AI use cases and tool changes, and ensures AI controls remain aligned to Bank risk appetite and regulatory expectations.</w:t>
      </w:r>
      <w:r w:rsidR="00AA5B60">
        <w:rPr>
          <w:rFonts w:eastAsia="Arial" w:cs="Calibri"/>
          <w:color w:val="000000" w:themeColor="text1"/>
        </w:rPr>
        <w:t xml:space="preserve"> Additional roles and responsibilities can be found in the Bank’s AIS Program documentation.</w:t>
      </w:r>
    </w:p>
    <w:p w14:paraId="7B1A9DBD" w14:textId="77777777" w:rsidR="00AA5B60" w:rsidRDefault="00AA5B60" w:rsidP="00BE2EA3">
      <w:pPr>
        <w:pStyle w:val="Heading1"/>
        <w:spacing w:before="0" w:line="240" w:lineRule="auto"/>
        <w:rPr>
          <w:rFonts w:ascii="Calibri" w:eastAsia="Arial" w:hAnsi="Calibri" w:cs="Calibri"/>
          <w:color w:val="000000" w:themeColor="text1"/>
          <w:sz w:val="22"/>
          <w:szCs w:val="22"/>
        </w:rPr>
      </w:pPr>
    </w:p>
    <w:p w14:paraId="28F85819" w14:textId="1D2A4EB8"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Incident Reporting and Escalation</w:t>
      </w:r>
    </w:p>
    <w:p w14:paraId="5A588754" w14:textId="34FADD27" w:rsidR="00BE2EA3" w:rsidRPr="003C0871" w:rsidRDefault="00AA5B60" w:rsidP="00BE2EA3">
      <w:pPr>
        <w:spacing w:after="0" w:line="240" w:lineRule="auto"/>
        <w:rPr>
          <w:rFonts w:cs="Calibri"/>
          <w:color w:val="000000" w:themeColor="text1"/>
        </w:rPr>
      </w:pPr>
      <w:r>
        <w:rPr>
          <w:rFonts w:eastAsia="Arial" w:cs="Calibri"/>
          <w:color w:val="000000" w:themeColor="text1"/>
        </w:rPr>
        <w:t>AI Incident management will follow the Bank’s current Incident Management policy and procedures.</w:t>
      </w:r>
    </w:p>
    <w:p w14:paraId="114C8FF7" w14:textId="77777777" w:rsidR="00BE2EA3" w:rsidRDefault="00BE2EA3" w:rsidP="00BE2EA3">
      <w:pPr>
        <w:pStyle w:val="Heading2"/>
        <w:spacing w:before="0"/>
        <w:rPr>
          <w:rFonts w:ascii="Calibri" w:hAnsi="Calibri" w:cs="Calibri"/>
          <w:color w:val="000000" w:themeColor="text1"/>
          <w:sz w:val="22"/>
          <w:szCs w:val="22"/>
        </w:rPr>
      </w:pPr>
    </w:p>
    <w:p w14:paraId="7549E0D9" w14:textId="77777777" w:rsidR="00BE2EA3" w:rsidRPr="003C0871" w:rsidRDefault="00BE2EA3" w:rsidP="00BE2EA3">
      <w:pPr>
        <w:pStyle w:val="Heading1"/>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Training and Acknowledgment</w:t>
      </w:r>
    </w:p>
    <w:p w14:paraId="2E43D2C1" w14:textId="236CD56C"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 xml:space="preserve">Before receiving access to AI tools, employees must complete the Bank’s </w:t>
      </w:r>
      <w:r w:rsidR="00523389">
        <w:rPr>
          <w:rFonts w:eastAsia="Arial" w:cs="Calibri"/>
          <w:color w:val="000000" w:themeColor="text1"/>
        </w:rPr>
        <w:t>Generative AI Safety and Security</w:t>
      </w:r>
      <w:r w:rsidRPr="003C0871">
        <w:rPr>
          <w:rFonts w:eastAsia="Arial" w:cs="Calibri"/>
          <w:color w:val="000000" w:themeColor="text1"/>
        </w:rPr>
        <w:t xml:space="preserve"> training and acknowledge this policy. Training and acknowledgment records are tracked </w:t>
      </w:r>
      <w:r w:rsidR="00523389">
        <w:rPr>
          <w:rFonts w:eastAsia="Arial" w:cs="Calibri"/>
          <w:color w:val="000000" w:themeColor="text1"/>
        </w:rPr>
        <w:t>by the Human Resources department</w:t>
      </w:r>
    </w:p>
    <w:p w14:paraId="2689BB67" w14:textId="77777777" w:rsidR="00B73C5F" w:rsidRDefault="00B73C5F" w:rsidP="00BE2EA3">
      <w:pPr>
        <w:spacing w:after="0" w:line="240" w:lineRule="auto"/>
        <w:rPr>
          <w:rFonts w:eastAsia="Arial" w:cs="Calibri"/>
          <w:color w:val="000000" w:themeColor="text1"/>
        </w:rPr>
      </w:pPr>
    </w:p>
    <w:p w14:paraId="554D6E80" w14:textId="77777777" w:rsidR="00BE2EA3" w:rsidRPr="003C0871" w:rsidRDefault="00BE2EA3" w:rsidP="00BE2EA3">
      <w:pPr>
        <w:pStyle w:val="Heading2"/>
        <w:spacing w:before="0" w:line="240" w:lineRule="auto"/>
        <w:rPr>
          <w:rFonts w:ascii="Calibri" w:hAnsi="Calibri" w:cs="Calibri"/>
          <w:color w:val="000000" w:themeColor="text1"/>
          <w:sz w:val="22"/>
          <w:szCs w:val="22"/>
        </w:rPr>
      </w:pPr>
      <w:r w:rsidRPr="003C0871">
        <w:rPr>
          <w:rFonts w:ascii="Calibri" w:eastAsia="Arial" w:hAnsi="Calibri" w:cs="Calibri"/>
          <w:color w:val="000000" w:themeColor="text1"/>
          <w:sz w:val="22"/>
          <w:szCs w:val="22"/>
        </w:rPr>
        <w:t>Policy Review</w:t>
      </w:r>
    </w:p>
    <w:p w14:paraId="16950FF3" w14:textId="77777777" w:rsidR="00BE2EA3" w:rsidRPr="003C0871" w:rsidRDefault="00BE2EA3" w:rsidP="00BE2EA3">
      <w:pPr>
        <w:spacing w:after="0" w:line="240" w:lineRule="auto"/>
        <w:rPr>
          <w:rFonts w:cs="Calibri"/>
          <w:color w:val="000000" w:themeColor="text1"/>
        </w:rPr>
      </w:pPr>
      <w:r w:rsidRPr="003C0871">
        <w:rPr>
          <w:rFonts w:eastAsia="Arial" w:cs="Calibri"/>
          <w:color w:val="000000" w:themeColor="text1"/>
        </w:rPr>
        <w:t>This policy is reviewed at least annually and updated as needed. Triggers for off-cycle review include adoption of a new AI tool, new AI features in a vendor product, proposed expansion into higher-risk use cases, audit findings, incident findings, or material changes to regulatory guidance.</w:t>
      </w:r>
    </w:p>
    <w:p w14:paraId="66A92A25" w14:textId="107E98D7" w:rsidR="00CD2A4B" w:rsidRDefault="00CD2A4B" w:rsidP="00BE2EA3"/>
    <w:p w14:paraId="2396E800" w14:textId="0FBFDD24" w:rsidR="004532A5" w:rsidRDefault="004532A5" w:rsidP="004532A5">
      <w:pPr>
        <w:spacing w:after="0" w:line="240" w:lineRule="auto"/>
        <w:rPr>
          <w:b/>
          <w:bCs/>
        </w:rPr>
      </w:pPr>
      <w:r w:rsidRPr="004532A5">
        <w:rPr>
          <w:b/>
          <w:bCs/>
        </w:rPr>
        <w:t>Reference Documents</w:t>
      </w:r>
    </w:p>
    <w:p w14:paraId="08378912" w14:textId="255AB735" w:rsidR="004532A5" w:rsidRDefault="004532A5" w:rsidP="004532A5">
      <w:pPr>
        <w:spacing w:after="0" w:line="240" w:lineRule="auto"/>
      </w:pPr>
      <w:r>
        <w:t>Information Security Program</w:t>
      </w:r>
    </w:p>
    <w:p w14:paraId="59A28B9A" w14:textId="116AAF38" w:rsidR="004532A5" w:rsidRDefault="004532A5" w:rsidP="004532A5">
      <w:pPr>
        <w:spacing w:after="0" w:line="240" w:lineRule="auto"/>
      </w:pPr>
      <w:r>
        <w:t>AI Systems Program</w:t>
      </w:r>
    </w:p>
    <w:p w14:paraId="134776B3" w14:textId="1B42F8C2" w:rsidR="004532A5" w:rsidRDefault="004532A5" w:rsidP="004532A5">
      <w:pPr>
        <w:spacing w:after="0" w:line="240" w:lineRule="auto"/>
      </w:pPr>
      <w:r>
        <w:t>Vendor Management Policy</w:t>
      </w:r>
    </w:p>
    <w:p w14:paraId="0E933C71" w14:textId="41F6BDED" w:rsidR="004532A5" w:rsidRPr="004532A5" w:rsidRDefault="004532A5" w:rsidP="004532A5">
      <w:pPr>
        <w:spacing w:after="0" w:line="240" w:lineRule="auto"/>
      </w:pPr>
    </w:p>
    <w:sectPr w:rsidR="004532A5" w:rsidRPr="004532A5" w:rsidSect="00BE2EA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4BE40EB"/>
    <w:multiLevelType w:val="hybridMultilevel"/>
    <w:tmpl w:val="61D6ED12"/>
    <w:lvl w:ilvl="0" w:tplc="81F644AC">
      <w:start w:val="1"/>
      <w:numFmt w:val="bullet"/>
      <w:lvlText w:val="•"/>
      <w:lvlJc w:val="left"/>
      <w:pPr>
        <w:ind w:left="720" w:hanging="360"/>
      </w:pPr>
    </w:lvl>
    <w:lvl w:ilvl="1" w:tplc="102A5F92">
      <w:start w:val="1"/>
      <w:numFmt w:val="bullet"/>
      <w:lvlText w:val="◦"/>
      <w:lvlJc w:val="left"/>
      <w:pPr>
        <w:ind w:left="1440" w:hanging="360"/>
      </w:pPr>
    </w:lvl>
    <w:lvl w:ilvl="2" w:tplc="C7825CBE">
      <w:numFmt w:val="decimal"/>
      <w:lvlText w:val=""/>
      <w:lvlJc w:val="left"/>
    </w:lvl>
    <w:lvl w:ilvl="3" w:tplc="3EBCFFAE">
      <w:numFmt w:val="decimal"/>
      <w:lvlText w:val=""/>
      <w:lvlJc w:val="left"/>
    </w:lvl>
    <w:lvl w:ilvl="4" w:tplc="6928AD20">
      <w:numFmt w:val="decimal"/>
      <w:lvlText w:val=""/>
      <w:lvlJc w:val="left"/>
    </w:lvl>
    <w:lvl w:ilvl="5" w:tplc="10C6C03A">
      <w:numFmt w:val="decimal"/>
      <w:lvlText w:val=""/>
      <w:lvlJc w:val="left"/>
    </w:lvl>
    <w:lvl w:ilvl="6" w:tplc="F2925066">
      <w:numFmt w:val="decimal"/>
      <w:lvlText w:val=""/>
      <w:lvlJc w:val="left"/>
    </w:lvl>
    <w:lvl w:ilvl="7" w:tplc="E5628602">
      <w:numFmt w:val="decimal"/>
      <w:lvlText w:val=""/>
      <w:lvlJc w:val="left"/>
    </w:lvl>
    <w:lvl w:ilvl="8" w:tplc="6E181996">
      <w:numFmt w:val="decimal"/>
      <w:lvlText w:val=""/>
      <w:lvlJc w:val="left"/>
    </w:lvl>
  </w:abstractNum>
  <w:abstractNum w:abstractNumId="10" w15:restartNumberingAfterBreak="0">
    <w:nsid w:val="54CF62F6"/>
    <w:multiLevelType w:val="hybridMultilevel"/>
    <w:tmpl w:val="95BCD56C"/>
    <w:lvl w:ilvl="0" w:tplc="45A2AC96">
      <w:start w:val="1"/>
      <w:numFmt w:val="decimal"/>
      <w:lvlText w:val="%1."/>
      <w:lvlJc w:val="left"/>
      <w:pPr>
        <w:ind w:left="720" w:hanging="360"/>
      </w:pPr>
    </w:lvl>
    <w:lvl w:ilvl="1" w:tplc="A3F6916C">
      <w:numFmt w:val="decimal"/>
      <w:lvlText w:val=""/>
      <w:lvlJc w:val="left"/>
    </w:lvl>
    <w:lvl w:ilvl="2" w:tplc="74DA67A8">
      <w:numFmt w:val="decimal"/>
      <w:lvlText w:val=""/>
      <w:lvlJc w:val="left"/>
    </w:lvl>
    <w:lvl w:ilvl="3" w:tplc="227669EA">
      <w:numFmt w:val="decimal"/>
      <w:lvlText w:val=""/>
      <w:lvlJc w:val="left"/>
    </w:lvl>
    <w:lvl w:ilvl="4" w:tplc="92B81216">
      <w:numFmt w:val="decimal"/>
      <w:lvlText w:val=""/>
      <w:lvlJc w:val="left"/>
    </w:lvl>
    <w:lvl w:ilvl="5" w:tplc="24ECB60A">
      <w:numFmt w:val="decimal"/>
      <w:lvlText w:val=""/>
      <w:lvlJc w:val="left"/>
    </w:lvl>
    <w:lvl w:ilvl="6" w:tplc="136C81B4">
      <w:numFmt w:val="decimal"/>
      <w:lvlText w:val=""/>
      <w:lvlJc w:val="left"/>
    </w:lvl>
    <w:lvl w:ilvl="7" w:tplc="3A68FEF0">
      <w:numFmt w:val="decimal"/>
      <w:lvlText w:val=""/>
      <w:lvlJc w:val="left"/>
    </w:lvl>
    <w:lvl w:ilvl="8" w:tplc="E21E3362">
      <w:numFmt w:val="decimal"/>
      <w:lvlText w:val=""/>
      <w:lvlJc w:val="left"/>
    </w:lvl>
  </w:abstractNum>
  <w:abstractNum w:abstractNumId="11" w15:restartNumberingAfterBreak="0">
    <w:nsid w:val="73C2298C"/>
    <w:multiLevelType w:val="hybridMultilevel"/>
    <w:tmpl w:val="404E7D00"/>
    <w:lvl w:ilvl="0" w:tplc="EDD235C6">
      <w:start w:val="1"/>
      <w:numFmt w:val="bullet"/>
      <w:lvlText w:val="•"/>
      <w:lvlJc w:val="left"/>
      <w:pPr>
        <w:ind w:left="720" w:hanging="360"/>
      </w:pPr>
    </w:lvl>
    <w:lvl w:ilvl="1" w:tplc="5CA23DAA">
      <w:start w:val="1"/>
      <w:numFmt w:val="bullet"/>
      <w:lvlText w:val="◦"/>
      <w:lvlJc w:val="left"/>
      <w:pPr>
        <w:ind w:left="1440" w:hanging="360"/>
      </w:pPr>
    </w:lvl>
    <w:lvl w:ilvl="2" w:tplc="FAE6CCBE">
      <w:numFmt w:val="decimal"/>
      <w:lvlText w:val=""/>
      <w:lvlJc w:val="left"/>
      <w:pPr>
        <w:ind w:left="0" w:firstLine="0"/>
      </w:pPr>
    </w:lvl>
    <w:lvl w:ilvl="3" w:tplc="15524156">
      <w:numFmt w:val="decimal"/>
      <w:lvlText w:val=""/>
      <w:lvlJc w:val="left"/>
      <w:pPr>
        <w:ind w:left="0" w:firstLine="0"/>
      </w:pPr>
    </w:lvl>
    <w:lvl w:ilvl="4" w:tplc="0B26FBBC">
      <w:numFmt w:val="decimal"/>
      <w:lvlText w:val=""/>
      <w:lvlJc w:val="left"/>
      <w:pPr>
        <w:ind w:left="0" w:firstLine="0"/>
      </w:pPr>
    </w:lvl>
    <w:lvl w:ilvl="5" w:tplc="EE9C7736">
      <w:numFmt w:val="decimal"/>
      <w:lvlText w:val=""/>
      <w:lvlJc w:val="left"/>
      <w:pPr>
        <w:ind w:left="0" w:firstLine="0"/>
      </w:pPr>
    </w:lvl>
    <w:lvl w:ilvl="6" w:tplc="CB5ACA52">
      <w:numFmt w:val="decimal"/>
      <w:lvlText w:val=""/>
      <w:lvlJc w:val="left"/>
      <w:pPr>
        <w:ind w:left="0" w:firstLine="0"/>
      </w:pPr>
    </w:lvl>
    <w:lvl w:ilvl="7" w:tplc="36D85E98">
      <w:numFmt w:val="decimal"/>
      <w:lvlText w:val=""/>
      <w:lvlJc w:val="left"/>
      <w:pPr>
        <w:ind w:left="0" w:firstLine="0"/>
      </w:pPr>
    </w:lvl>
    <w:lvl w:ilvl="8" w:tplc="41F6EEFA">
      <w:numFmt w:val="decimal"/>
      <w:lvlText w:val=""/>
      <w:lvlJc w:val="left"/>
      <w:pPr>
        <w:ind w:left="0" w:firstLine="0"/>
      </w:pPr>
    </w:lvl>
  </w:abstractNum>
  <w:abstractNum w:abstractNumId="12" w15:restartNumberingAfterBreak="0">
    <w:nsid w:val="7FBE7109"/>
    <w:multiLevelType w:val="hybridMultilevel"/>
    <w:tmpl w:val="6428DD16"/>
    <w:lvl w:ilvl="0" w:tplc="31E0AAD2">
      <w:start w:val="1"/>
      <w:numFmt w:val="decimal"/>
      <w:lvlText w:val="%1."/>
      <w:lvlJc w:val="left"/>
      <w:pPr>
        <w:ind w:left="720" w:hanging="360"/>
      </w:pPr>
    </w:lvl>
    <w:lvl w:ilvl="1" w:tplc="E6A25FD2">
      <w:numFmt w:val="decimal"/>
      <w:lvlText w:val=""/>
      <w:lvlJc w:val="left"/>
      <w:pPr>
        <w:ind w:left="0" w:firstLine="0"/>
      </w:pPr>
    </w:lvl>
    <w:lvl w:ilvl="2" w:tplc="75A23E76">
      <w:numFmt w:val="decimal"/>
      <w:lvlText w:val=""/>
      <w:lvlJc w:val="left"/>
      <w:pPr>
        <w:ind w:left="0" w:firstLine="0"/>
      </w:pPr>
    </w:lvl>
    <w:lvl w:ilvl="3" w:tplc="85405FD0">
      <w:numFmt w:val="decimal"/>
      <w:lvlText w:val=""/>
      <w:lvlJc w:val="left"/>
      <w:pPr>
        <w:ind w:left="0" w:firstLine="0"/>
      </w:pPr>
    </w:lvl>
    <w:lvl w:ilvl="4" w:tplc="02BC6504">
      <w:numFmt w:val="decimal"/>
      <w:lvlText w:val=""/>
      <w:lvlJc w:val="left"/>
      <w:pPr>
        <w:ind w:left="0" w:firstLine="0"/>
      </w:pPr>
    </w:lvl>
    <w:lvl w:ilvl="5" w:tplc="C38C4980">
      <w:numFmt w:val="decimal"/>
      <w:lvlText w:val=""/>
      <w:lvlJc w:val="left"/>
      <w:pPr>
        <w:ind w:left="0" w:firstLine="0"/>
      </w:pPr>
    </w:lvl>
    <w:lvl w:ilvl="6" w:tplc="24F2CE7E">
      <w:numFmt w:val="decimal"/>
      <w:lvlText w:val=""/>
      <w:lvlJc w:val="left"/>
      <w:pPr>
        <w:ind w:left="0" w:firstLine="0"/>
      </w:pPr>
    </w:lvl>
    <w:lvl w:ilvl="7" w:tplc="3126FE8E">
      <w:numFmt w:val="decimal"/>
      <w:lvlText w:val=""/>
      <w:lvlJc w:val="left"/>
      <w:pPr>
        <w:ind w:left="0" w:firstLine="0"/>
      </w:pPr>
    </w:lvl>
    <w:lvl w:ilvl="8" w:tplc="397A4700">
      <w:numFmt w:val="decimal"/>
      <w:lvlText w:val=""/>
      <w:lvlJc w:val="left"/>
      <w:pPr>
        <w:ind w:left="0" w:firstLine="0"/>
      </w:pPr>
    </w:lvl>
  </w:abstractNum>
  <w:num w:numId="1" w16cid:durableId="743839135">
    <w:abstractNumId w:val="8"/>
  </w:num>
  <w:num w:numId="2" w16cid:durableId="2142838384">
    <w:abstractNumId w:val="6"/>
  </w:num>
  <w:num w:numId="3" w16cid:durableId="873006302">
    <w:abstractNumId w:val="5"/>
  </w:num>
  <w:num w:numId="4" w16cid:durableId="1554583210">
    <w:abstractNumId w:val="4"/>
  </w:num>
  <w:num w:numId="5" w16cid:durableId="413818854">
    <w:abstractNumId w:val="7"/>
  </w:num>
  <w:num w:numId="6" w16cid:durableId="782072712">
    <w:abstractNumId w:val="3"/>
  </w:num>
  <w:num w:numId="7" w16cid:durableId="592977058">
    <w:abstractNumId w:val="2"/>
  </w:num>
  <w:num w:numId="8" w16cid:durableId="1328748274">
    <w:abstractNumId w:val="1"/>
  </w:num>
  <w:num w:numId="9" w16cid:durableId="1601570097">
    <w:abstractNumId w:val="0"/>
  </w:num>
  <w:num w:numId="10" w16cid:durableId="1475639991">
    <w:abstractNumId w:val="11"/>
  </w:num>
  <w:num w:numId="11" w16cid:durableId="1732390263">
    <w:abstractNumId w:val="12"/>
    <w:lvlOverride w:ilvl="0">
      <w:startOverride w:val="1"/>
    </w:lvlOverride>
    <w:lvlOverride w:ilvl="1"/>
    <w:lvlOverride w:ilvl="2"/>
    <w:lvlOverride w:ilvl="3"/>
    <w:lvlOverride w:ilvl="4"/>
    <w:lvlOverride w:ilvl="5"/>
    <w:lvlOverride w:ilvl="6"/>
    <w:lvlOverride w:ilvl="7"/>
    <w:lvlOverride w:ilvl="8"/>
  </w:num>
  <w:num w:numId="12" w16cid:durableId="1399786336">
    <w:abstractNumId w:val="9"/>
    <w:lvlOverride w:ilvl="0">
      <w:startOverride w:val="1"/>
    </w:lvlOverride>
  </w:num>
  <w:num w:numId="13" w16cid:durableId="177775399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F25"/>
    <w:rsid w:val="000279DB"/>
    <w:rsid w:val="00034616"/>
    <w:rsid w:val="0006063C"/>
    <w:rsid w:val="000B7E54"/>
    <w:rsid w:val="000D439F"/>
    <w:rsid w:val="001103F0"/>
    <w:rsid w:val="00124A3E"/>
    <w:rsid w:val="00136A4E"/>
    <w:rsid w:val="0015074B"/>
    <w:rsid w:val="002177ED"/>
    <w:rsid w:val="0024303E"/>
    <w:rsid w:val="0025076B"/>
    <w:rsid w:val="0029639D"/>
    <w:rsid w:val="00313B47"/>
    <w:rsid w:val="00324945"/>
    <w:rsid w:val="00326F90"/>
    <w:rsid w:val="003403E5"/>
    <w:rsid w:val="00346872"/>
    <w:rsid w:val="003A3FC3"/>
    <w:rsid w:val="004532A5"/>
    <w:rsid w:val="004813A8"/>
    <w:rsid w:val="0052139F"/>
    <w:rsid w:val="00523389"/>
    <w:rsid w:val="006053AA"/>
    <w:rsid w:val="00607B0A"/>
    <w:rsid w:val="006F156E"/>
    <w:rsid w:val="00752362"/>
    <w:rsid w:val="008058B3"/>
    <w:rsid w:val="00920A87"/>
    <w:rsid w:val="00AA1D8D"/>
    <w:rsid w:val="00AA5B60"/>
    <w:rsid w:val="00B47730"/>
    <w:rsid w:val="00B634D3"/>
    <w:rsid w:val="00B73C5F"/>
    <w:rsid w:val="00BE2EA3"/>
    <w:rsid w:val="00BF6741"/>
    <w:rsid w:val="00CB0664"/>
    <w:rsid w:val="00CD2A4B"/>
    <w:rsid w:val="00CE1FB7"/>
    <w:rsid w:val="00D01CB4"/>
    <w:rsid w:val="00D95EAD"/>
    <w:rsid w:val="00DC7DBC"/>
    <w:rsid w:val="00E923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865C41A-7F02-43BB-967E-DAFB8B42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1Light-Accent1">
    <w:name w:val="Grid Table 1 Light Accent 1"/>
    <w:basedOn w:val="TableNormal"/>
    <w:uiPriority w:val="46"/>
    <w:rsid w:val="00B73C5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99"/>
    <w:rsid w:val="00B73C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4</Pages>
  <Words>1217</Words>
  <Characters>7229</Characters>
  <Application>Microsoft Office Word</Application>
  <DocSecurity>0</DocSecurity>
  <Lines>164</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rbeachy@sturgis.bank</dc:creator>
  <cp:keywords/>
  <dc:description/>
  <cp:lastModifiedBy>Rob Beachy</cp:lastModifiedBy>
  <cp:revision>22</cp:revision>
  <dcterms:created xsi:type="dcterms:W3CDTF">2013-12-23T23:15:00Z</dcterms:created>
  <dcterms:modified xsi:type="dcterms:W3CDTF">2026-06-22T18:49:00Z</dcterms:modified>
  <cp:category/>
</cp:coreProperties>
</file>